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6.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7.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8.xml" ContentType="application/vnd.openxmlformats-officedocument.drawingml.chart+xml"/>
  <Override PartName="/word/charts/style4.xml" ContentType="application/vnd.ms-office.chartstyle+xml"/>
  <Override PartName="/word/charts/colors4.xml" ContentType="application/vnd.ms-office.chartcolorstyle+xml"/>
  <Override PartName="/word/drawings/drawing1.xml" ContentType="application/vnd.openxmlformats-officedocument.drawingml.chartshapes+xml"/>
  <Override PartName="/word/charts/chart9.xml" ContentType="application/vnd.openxmlformats-officedocument.drawingml.chart+xml"/>
  <Override PartName="/word/charts/style5.xml" ContentType="application/vnd.ms-office.chartstyle+xml"/>
  <Override PartName="/word/charts/colors5.xml" ContentType="application/vnd.ms-office.chartcolorstyle+xml"/>
  <Override PartName="/word/drawings/drawing2.xml" ContentType="application/vnd.openxmlformats-officedocument.drawingml.chartshap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814D8B" w14:textId="77777777" w:rsidR="00A7203D" w:rsidRPr="00B068BF" w:rsidRDefault="00A7203D" w:rsidP="00AE2FCB">
      <w:pPr>
        <w:spacing w:after="0" w:line="240" w:lineRule="auto"/>
        <w:ind w:right="-198"/>
        <w:jc w:val="center"/>
        <w:rPr>
          <w:rFonts w:ascii="Times New Roman" w:hAnsi="Times New Roman" w:cs="Times New Roman"/>
          <w:b/>
          <w:sz w:val="28"/>
          <w:szCs w:val="28"/>
          <w:shd w:val="clear" w:color="auto" w:fill="FFFFFF"/>
          <w:lang w:val="ru-RU"/>
        </w:rPr>
      </w:pPr>
      <w:r w:rsidRPr="00B068BF">
        <w:rPr>
          <w:rFonts w:ascii="Times New Roman" w:hAnsi="Times New Roman" w:cs="Times New Roman"/>
          <w:b/>
          <w:sz w:val="28"/>
          <w:szCs w:val="28"/>
          <w:shd w:val="clear" w:color="auto" w:fill="FFFFFF"/>
          <w:lang w:val="ru-RU"/>
        </w:rPr>
        <w:t>О Т Ч Е Т</w:t>
      </w:r>
    </w:p>
    <w:p w14:paraId="5C88AD2E" w14:textId="77777777" w:rsidR="00A7203D" w:rsidRPr="00B068BF" w:rsidRDefault="00A7203D" w:rsidP="00AE2FCB">
      <w:pPr>
        <w:spacing w:after="0" w:line="240" w:lineRule="auto"/>
        <w:ind w:right="-198"/>
        <w:jc w:val="center"/>
        <w:rPr>
          <w:rFonts w:ascii="Times New Roman" w:hAnsi="Times New Roman" w:cs="Times New Roman"/>
          <w:b/>
          <w:sz w:val="21"/>
          <w:szCs w:val="21"/>
          <w:shd w:val="clear" w:color="auto" w:fill="FFFFFF"/>
          <w:lang w:val="ru-RU"/>
        </w:rPr>
      </w:pPr>
    </w:p>
    <w:p w14:paraId="026895D5" w14:textId="47B4040D" w:rsidR="00A7203D" w:rsidRPr="00B068BF" w:rsidRDefault="00A7203D" w:rsidP="00AE2FCB">
      <w:pPr>
        <w:spacing w:after="0" w:line="240" w:lineRule="auto"/>
        <w:ind w:right="-198"/>
        <w:jc w:val="center"/>
        <w:rPr>
          <w:rFonts w:ascii="Times New Roman" w:hAnsi="Times New Roman" w:cs="Times New Roman"/>
          <w:b/>
          <w:sz w:val="24"/>
          <w:szCs w:val="24"/>
          <w:lang w:val="ru-RU"/>
        </w:rPr>
      </w:pPr>
      <w:r w:rsidRPr="00B068BF">
        <w:rPr>
          <w:rFonts w:ascii="Times New Roman" w:hAnsi="Times New Roman" w:cs="Times New Roman"/>
          <w:b/>
          <w:sz w:val="24"/>
          <w:szCs w:val="24"/>
          <w:shd w:val="clear" w:color="auto" w:fill="FFFFFF"/>
          <w:lang w:val="ru-RU"/>
        </w:rPr>
        <w:t xml:space="preserve">о ходе выполнения Плана работы </w:t>
      </w:r>
      <w:r w:rsidRPr="00B068BF">
        <w:rPr>
          <w:rFonts w:ascii="Times New Roman" w:hAnsi="Times New Roman" w:cs="Times New Roman"/>
          <w:b/>
          <w:sz w:val="24"/>
          <w:szCs w:val="24"/>
          <w:lang w:val="ru-RU"/>
        </w:rPr>
        <w:t>Координационного совета по вопросам выпуска денежных знаков, развития нумизматического рынка, борьбы с фальшивомонетничеством на 202</w:t>
      </w:r>
      <w:r w:rsidR="00294E39" w:rsidRPr="00B068BF">
        <w:rPr>
          <w:rFonts w:ascii="Times New Roman" w:hAnsi="Times New Roman" w:cs="Times New Roman"/>
          <w:b/>
          <w:sz w:val="24"/>
          <w:szCs w:val="24"/>
          <w:lang w:val="ru-RU"/>
        </w:rPr>
        <w:t>2</w:t>
      </w:r>
      <w:r w:rsidRPr="00B068BF">
        <w:rPr>
          <w:rFonts w:ascii="Times New Roman" w:hAnsi="Times New Roman" w:cs="Times New Roman"/>
          <w:b/>
          <w:sz w:val="24"/>
          <w:szCs w:val="24"/>
          <w:lang w:val="ru-RU"/>
        </w:rPr>
        <w:t xml:space="preserve"> год</w:t>
      </w:r>
    </w:p>
    <w:p w14:paraId="0148B0E0" w14:textId="77777777" w:rsidR="00A7203D" w:rsidRPr="00B068BF" w:rsidRDefault="00A7203D" w:rsidP="00D6459F">
      <w:pPr>
        <w:spacing w:after="0" w:line="240" w:lineRule="auto"/>
        <w:jc w:val="center"/>
        <w:rPr>
          <w:rFonts w:ascii="Times New Roman" w:hAnsi="Times New Roman" w:cs="Times New Roman"/>
          <w:sz w:val="24"/>
          <w:szCs w:val="24"/>
          <w:lang w:val="ru-RU"/>
        </w:rPr>
      </w:pPr>
    </w:p>
    <w:p w14:paraId="5CB62019" w14:textId="77777777" w:rsidR="00A7203D" w:rsidRPr="00B068BF" w:rsidRDefault="00D6401B" w:rsidP="00D6401B">
      <w:pPr>
        <w:tabs>
          <w:tab w:val="left" w:pos="851"/>
        </w:tabs>
        <w:spacing w:after="0" w:line="240" w:lineRule="auto"/>
        <w:jc w:val="both"/>
        <w:rPr>
          <w:rFonts w:ascii="Times New Roman" w:hAnsi="Times New Roman" w:cs="Times New Roman"/>
          <w:b/>
          <w:sz w:val="24"/>
          <w:szCs w:val="24"/>
          <w:u w:val="single"/>
          <w:lang w:val="ru-RU"/>
        </w:rPr>
      </w:pPr>
      <w:r w:rsidRPr="00B068BF">
        <w:rPr>
          <w:rFonts w:ascii="Times New Roman" w:hAnsi="Times New Roman" w:cs="Times New Roman"/>
          <w:b/>
          <w:sz w:val="24"/>
          <w:szCs w:val="24"/>
          <w:u w:val="single"/>
          <w:lang w:val="ru-RU"/>
        </w:rPr>
        <w:t xml:space="preserve">1. </w:t>
      </w:r>
      <w:r w:rsidR="00A7203D" w:rsidRPr="00B068BF">
        <w:rPr>
          <w:rFonts w:ascii="Times New Roman" w:hAnsi="Times New Roman" w:cs="Times New Roman"/>
          <w:b/>
          <w:sz w:val="24"/>
          <w:szCs w:val="24"/>
          <w:u w:val="single"/>
          <w:lang w:val="ru-RU"/>
        </w:rPr>
        <w:t>Информация о введенных в обращение национальных денежных знаках (включая памятные и коллекционные банкноты и монеты, а также мерные слитки из драгоценных металлов) в 202</w:t>
      </w:r>
      <w:r w:rsidR="002750B6" w:rsidRPr="00B068BF">
        <w:rPr>
          <w:rFonts w:ascii="Times New Roman" w:hAnsi="Times New Roman" w:cs="Times New Roman"/>
          <w:b/>
          <w:sz w:val="24"/>
          <w:szCs w:val="24"/>
          <w:u w:val="single"/>
          <w:lang w:val="ru-RU"/>
        </w:rPr>
        <w:t>2</w:t>
      </w:r>
      <w:r w:rsidR="00A7203D" w:rsidRPr="00B068BF">
        <w:rPr>
          <w:rFonts w:ascii="Times New Roman" w:hAnsi="Times New Roman" w:cs="Times New Roman"/>
          <w:b/>
          <w:sz w:val="24"/>
          <w:szCs w:val="24"/>
          <w:u w:val="single"/>
          <w:lang w:val="ru-RU"/>
        </w:rPr>
        <w:t xml:space="preserve"> году</w:t>
      </w:r>
    </w:p>
    <w:p w14:paraId="51FA3BB0" w14:textId="77777777" w:rsidR="00A7203D" w:rsidRPr="00B068BF" w:rsidRDefault="00A7203D" w:rsidP="00D6459F">
      <w:pPr>
        <w:tabs>
          <w:tab w:val="left" w:pos="851"/>
        </w:tabs>
        <w:spacing w:after="0" w:line="240" w:lineRule="auto"/>
        <w:jc w:val="both"/>
        <w:rPr>
          <w:rFonts w:ascii="Times New Roman" w:hAnsi="Times New Roman" w:cs="Times New Roman"/>
          <w:b/>
          <w:sz w:val="24"/>
          <w:szCs w:val="24"/>
          <w:lang w:val="ru-RU"/>
        </w:rPr>
      </w:pPr>
    </w:p>
    <w:p w14:paraId="07D0A928" w14:textId="77777777" w:rsidR="00A7203D" w:rsidRPr="00B068BF" w:rsidRDefault="00A7203D" w:rsidP="00D6401B">
      <w:pPr>
        <w:pStyle w:val="a3"/>
        <w:numPr>
          <w:ilvl w:val="0"/>
          <w:numId w:val="3"/>
        </w:numPr>
        <w:tabs>
          <w:tab w:val="left" w:pos="851"/>
        </w:tabs>
        <w:spacing w:after="0" w:line="240" w:lineRule="auto"/>
        <w:jc w:val="both"/>
        <w:rPr>
          <w:rFonts w:ascii="Times New Roman" w:hAnsi="Times New Roman" w:cs="Times New Roman"/>
          <w:b/>
          <w:sz w:val="24"/>
          <w:szCs w:val="24"/>
          <w:lang w:val="ru-RU"/>
        </w:rPr>
      </w:pPr>
      <w:r w:rsidRPr="00B068BF">
        <w:rPr>
          <w:rFonts w:ascii="Times New Roman" w:hAnsi="Times New Roman" w:cs="Times New Roman"/>
          <w:b/>
          <w:sz w:val="24"/>
          <w:szCs w:val="24"/>
          <w:lang w:val="ru-RU"/>
        </w:rPr>
        <w:t xml:space="preserve">Центральный банк </w:t>
      </w:r>
      <w:r w:rsidR="00D6459F" w:rsidRPr="00B068BF">
        <w:rPr>
          <w:rFonts w:ascii="Times New Roman" w:hAnsi="Times New Roman" w:cs="Times New Roman"/>
          <w:b/>
          <w:sz w:val="24"/>
          <w:szCs w:val="24"/>
          <w:lang w:val="ru-RU"/>
        </w:rPr>
        <w:t xml:space="preserve">Республики </w:t>
      </w:r>
      <w:r w:rsidRPr="00B068BF">
        <w:rPr>
          <w:rFonts w:ascii="Times New Roman" w:hAnsi="Times New Roman" w:cs="Times New Roman"/>
          <w:b/>
          <w:sz w:val="24"/>
          <w:szCs w:val="24"/>
          <w:lang w:val="ru-RU"/>
        </w:rPr>
        <w:t>Армени</w:t>
      </w:r>
      <w:r w:rsidR="00D6459F" w:rsidRPr="00B068BF">
        <w:rPr>
          <w:rFonts w:ascii="Times New Roman" w:hAnsi="Times New Roman" w:cs="Times New Roman"/>
          <w:b/>
          <w:sz w:val="24"/>
          <w:szCs w:val="24"/>
          <w:lang w:val="ru-RU"/>
        </w:rPr>
        <w:t>я</w:t>
      </w:r>
    </w:p>
    <w:p w14:paraId="6AF60B51" w14:textId="77777777" w:rsidR="00294E39" w:rsidRPr="00B068BF" w:rsidRDefault="00294E39" w:rsidP="00294E39">
      <w:pPr>
        <w:spacing w:after="0" w:line="240" w:lineRule="auto"/>
        <w:ind w:firstLine="36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 xml:space="preserve">В 2022 году Центральный банк Армении выпустил 1000-драмовую банкноту 3-ей серии с добавлением на оборотной стороне цветопеременной краски и УФ меток. Банкнота является усиленной версией банкноты того же номинала 2018 года выпуска. Были также изменены год выпуска, серийная буква и подписи (подробное описание банкноты представлено во 2-ом пункте Отчета). </w:t>
      </w:r>
    </w:p>
    <w:p w14:paraId="7C1D0D92" w14:textId="77777777" w:rsidR="00294E39" w:rsidRPr="00B068BF" w:rsidRDefault="00294E39" w:rsidP="002750B6">
      <w:pPr>
        <w:spacing w:after="0" w:line="240" w:lineRule="auto"/>
        <w:ind w:firstLine="36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В отчетном году было выпущено 6 наименований памятных монет, из которых:</w:t>
      </w:r>
    </w:p>
    <w:p w14:paraId="019E90A8" w14:textId="77777777" w:rsidR="00294E39" w:rsidRPr="00B068BF" w:rsidRDefault="00294E39" w:rsidP="00294E39">
      <w:pPr>
        <w:spacing w:after="0" w:line="240" w:lineRule="auto"/>
        <w:ind w:firstLine="72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2 золотые:</w:t>
      </w:r>
    </w:p>
    <w:p w14:paraId="3B201ED3" w14:textId="77777777" w:rsidR="00294E39" w:rsidRPr="00B068BF" w:rsidRDefault="00294E39" w:rsidP="00294E39">
      <w:pPr>
        <w:spacing w:after="0" w:line="240" w:lineRule="auto"/>
        <w:ind w:firstLine="72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 «30-летие образования армянской национальной армии» в количестве 400 штук,</w:t>
      </w:r>
    </w:p>
    <w:p w14:paraId="5A4B5B6B" w14:textId="77777777" w:rsidR="00294E39" w:rsidRPr="00B068BF" w:rsidRDefault="00294E39" w:rsidP="00294E39">
      <w:pPr>
        <w:spacing w:after="0" w:line="240" w:lineRule="auto"/>
        <w:ind w:firstLine="72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 «125-летие со дня рождения Егише Чаренца» в количестве 300 штук,</w:t>
      </w:r>
    </w:p>
    <w:p w14:paraId="17FF0A37" w14:textId="77777777" w:rsidR="00294E39" w:rsidRPr="00B068BF" w:rsidRDefault="00294E39" w:rsidP="00294E39">
      <w:pPr>
        <w:spacing w:after="0" w:line="240" w:lineRule="auto"/>
        <w:ind w:firstLine="72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4 серебряные:</w:t>
      </w:r>
    </w:p>
    <w:p w14:paraId="2E379A80" w14:textId="77777777" w:rsidR="00294E39" w:rsidRPr="00B068BF" w:rsidRDefault="00294E39" w:rsidP="00294E39">
      <w:pPr>
        <w:spacing w:after="0" w:line="240" w:lineRule="auto"/>
        <w:ind w:left="900" w:hanging="18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 «30-летие образования армянской национальной армии» в количестве 400 штук,</w:t>
      </w:r>
    </w:p>
    <w:p w14:paraId="262EF505" w14:textId="77777777" w:rsidR="00294E39" w:rsidRPr="00B068BF" w:rsidRDefault="00294E39" w:rsidP="00294E39">
      <w:pPr>
        <w:spacing w:after="0" w:line="240" w:lineRule="auto"/>
        <w:ind w:firstLine="72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 «Давид-Бек» в количестве 250 штук,</w:t>
      </w:r>
    </w:p>
    <w:p w14:paraId="727A9675" w14:textId="77777777" w:rsidR="00294E39" w:rsidRPr="00B068BF" w:rsidRDefault="00294E39" w:rsidP="00294E39">
      <w:pPr>
        <w:spacing w:after="0" w:line="240" w:lineRule="auto"/>
        <w:ind w:firstLine="72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 «100-летие со дна рождения Огана Дуряна» в количестве 200 штук,</w:t>
      </w:r>
    </w:p>
    <w:p w14:paraId="63EAF7F2" w14:textId="77777777" w:rsidR="00294E39" w:rsidRPr="00B068BF" w:rsidRDefault="00294E39" w:rsidP="00294E39">
      <w:pPr>
        <w:spacing w:after="0" w:line="240" w:lineRule="auto"/>
        <w:ind w:firstLine="72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 «Оганесон (</w:t>
      </w:r>
      <w:r w:rsidRPr="00B068BF">
        <w:rPr>
          <w:rFonts w:ascii="Times New Roman" w:hAnsi="Times New Roman" w:cs="Times New Roman"/>
          <w:sz w:val="24"/>
          <w:szCs w:val="24"/>
        </w:rPr>
        <w:t>Og</w:t>
      </w:r>
      <w:r w:rsidRPr="00B068BF">
        <w:rPr>
          <w:rFonts w:ascii="Times New Roman" w:hAnsi="Times New Roman" w:cs="Times New Roman"/>
          <w:sz w:val="24"/>
          <w:szCs w:val="24"/>
          <w:lang w:val="ru-RU"/>
        </w:rPr>
        <w:t>)» в количестве 500 штук.</w:t>
      </w:r>
    </w:p>
    <w:p w14:paraId="4836D90D" w14:textId="77777777" w:rsidR="00294E39" w:rsidRPr="00B068BF" w:rsidRDefault="00294E39" w:rsidP="00294E39">
      <w:pPr>
        <w:spacing w:after="0" w:line="240" w:lineRule="auto"/>
        <w:ind w:firstLine="720"/>
        <w:jc w:val="both"/>
        <w:rPr>
          <w:rFonts w:ascii="Times New Roman" w:hAnsi="Times New Roman" w:cs="Times New Roman"/>
          <w:sz w:val="24"/>
          <w:szCs w:val="24"/>
          <w:lang w:val="ru-RU"/>
        </w:rPr>
      </w:pPr>
    </w:p>
    <w:p w14:paraId="7B31B544" w14:textId="77777777" w:rsidR="003C6ADB" w:rsidRPr="00B068BF" w:rsidRDefault="00294E39" w:rsidP="003C6ADB">
      <w:pPr>
        <w:tabs>
          <w:tab w:val="left" w:pos="360"/>
        </w:tabs>
        <w:spacing w:after="0" w:line="240" w:lineRule="auto"/>
        <w:ind w:firstLine="36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Золотые монеты имеют номинальную стоимость 10.000 драм, вес 8,6 г и диаметр 22,0 мм, а серебряные – 1000 драм, 33,6 г и 40,0 мм соответственно. Все монеты имеют качество</w:t>
      </w:r>
      <w:r w:rsidR="003C6ADB" w:rsidRPr="00B068BF">
        <w:rPr>
          <w:rFonts w:ascii="Times New Roman" w:hAnsi="Times New Roman" w:cs="Times New Roman"/>
          <w:sz w:val="24"/>
          <w:szCs w:val="24"/>
          <w:lang w:val="ru-RU"/>
        </w:rPr>
        <w:t xml:space="preserve"> чекана «пруф» и рифленый гурт.</w:t>
      </w:r>
    </w:p>
    <w:p w14:paraId="3D03E0F9" w14:textId="77777777" w:rsidR="00294E39" w:rsidRPr="00B068BF" w:rsidRDefault="003C6ADB" w:rsidP="003C6ADB">
      <w:pPr>
        <w:tabs>
          <w:tab w:val="left" w:pos="360"/>
        </w:tabs>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ab/>
      </w:r>
      <w:r w:rsidR="00294E39" w:rsidRPr="00B068BF">
        <w:rPr>
          <w:rFonts w:ascii="Times New Roman" w:hAnsi="Times New Roman" w:cs="Times New Roman"/>
          <w:sz w:val="24"/>
          <w:szCs w:val="24"/>
          <w:lang w:val="ru-RU"/>
        </w:rPr>
        <w:t>В целом, в 2022 году было введено в обращение памятных монет в количестве 2.050 штук.</w:t>
      </w:r>
    </w:p>
    <w:p w14:paraId="58DA8041" w14:textId="77777777" w:rsidR="00294E39" w:rsidRPr="00B068BF" w:rsidRDefault="00294E39" w:rsidP="003C6ADB">
      <w:pPr>
        <w:spacing w:after="0" w:line="240" w:lineRule="auto"/>
        <w:ind w:firstLine="360"/>
        <w:jc w:val="both"/>
        <w:rPr>
          <w:rFonts w:ascii="Times New Roman" w:hAnsi="Times New Roman" w:cs="Times New Roman"/>
          <w:color w:val="0563C1"/>
          <w:sz w:val="24"/>
          <w:szCs w:val="24"/>
          <w:u w:val="single"/>
          <w:lang w:val="ru-RU"/>
        </w:rPr>
      </w:pPr>
      <w:r w:rsidRPr="00B068BF">
        <w:rPr>
          <w:rFonts w:ascii="Times New Roman" w:hAnsi="Times New Roman" w:cs="Times New Roman"/>
          <w:sz w:val="24"/>
          <w:szCs w:val="24"/>
          <w:lang w:val="ru-RU"/>
        </w:rPr>
        <w:t xml:space="preserve">Информация о введенных в обращение памятных монетах предоставлялась в соответствующие российские ведомства для их размещения в специализированном журнале «Золотой червонец» и на сайте </w:t>
      </w:r>
      <w:hyperlink r:id="rId8" w:history="1">
        <w:r w:rsidRPr="00B068BF">
          <w:rPr>
            <w:rFonts w:ascii="Times New Roman" w:hAnsi="Times New Roman" w:cs="Times New Roman"/>
            <w:color w:val="0563C1"/>
            <w:sz w:val="24"/>
            <w:szCs w:val="24"/>
            <w:u w:val="single"/>
          </w:rPr>
          <w:t>www</w:t>
        </w:r>
        <w:r w:rsidRPr="00B068BF">
          <w:rPr>
            <w:rFonts w:ascii="Times New Roman" w:hAnsi="Times New Roman" w:cs="Times New Roman"/>
            <w:color w:val="0563C1"/>
            <w:sz w:val="24"/>
            <w:szCs w:val="24"/>
            <w:u w:val="single"/>
            <w:lang w:val="ru-RU"/>
          </w:rPr>
          <w:t>.</w:t>
        </w:r>
        <w:r w:rsidRPr="00B068BF">
          <w:rPr>
            <w:rFonts w:ascii="Times New Roman" w:hAnsi="Times New Roman" w:cs="Times New Roman"/>
            <w:color w:val="0563C1"/>
            <w:sz w:val="24"/>
            <w:szCs w:val="24"/>
            <w:u w:val="single"/>
          </w:rPr>
          <w:t>gold</w:t>
        </w:r>
        <w:r w:rsidRPr="00B068BF">
          <w:rPr>
            <w:rFonts w:ascii="Times New Roman" w:hAnsi="Times New Roman" w:cs="Times New Roman"/>
            <w:color w:val="0563C1"/>
            <w:sz w:val="24"/>
            <w:szCs w:val="24"/>
            <w:u w:val="single"/>
            <w:lang w:val="ru-RU"/>
          </w:rPr>
          <w:t>10.</w:t>
        </w:r>
        <w:r w:rsidRPr="00B068BF">
          <w:rPr>
            <w:rFonts w:ascii="Times New Roman" w:hAnsi="Times New Roman" w:cs="Times New Roman"/>
            <w:color w:val="0563C1"/>
            <w:sz w:val="24"/>
            <w:szCs w:val="24"/>
            <w:u w:val="single"/>
          </w:rPr>
          <w:t>ru</w:t>
        </w:r>
      </w:hyperlink>
      <w:r w:rsidRPr="00B068BF">
        <w:rPr>
          <w:rFonts w:ascii="Times New Roman" w:hAnsi="Times New Roman" w:cs="Times New Roman"/>
          <w:color w:val="0563C1"/>
          <w:sz w:val="24"/>
          <w:szCs w:val="24"/>
          <w:u w:val="single"/>
          <w:lang w:val="ru-RU"/>
        </w:rPr>
        <w:t>.</w:t>
      </w:r>
    </w:p>
    <w:p w14:paraId="5177289C" w14:textId="753D5399" w:rsidR="00294E39" w:rsidRPr="00B068BF" w:rsidRDefault="00294E39" w:rsidP="003C6ADB">
      <w:pPr>
        <w:spacing w:after="0" w:line="240" w:lineRule="auto"/>
        <w:ind w:firstLine="360"/>
        <w:jc w:val="both"/>
        <w:rPr>
          <w:rFonts w:ascii="Times New Roman" w:hAnsi="Times New Roman" w:cs="Times New Roman"/>
          <w:lang w:val="ru-RU"/>
        </w:rPr>
      </w:pPr>
      <w:r w:rsidRPr="00B068BF">
        <w:rPr>
          <w:rFonts w:ascii="Times New Roman" w:hAnsi="Times New Roman" w:cs="Times New Roman"/>
          <w:sz w:val="24"/>
          <w:szCs w:val="24"/>
          <w:lang w:val="ru-RU"/>
        </w:rPr>
        <w:t>В 2022 году Центральный банк Армении принял участие в 16-ом международном конкурсе «Монетное созвездие», организованном компанией «Уотермарк». Серебряная памятная монета, посвященная 100-летию со дня рождения известного советского композитора-песенника Арно Бабаджаняна удостоилась на конкурсе сразу трех призов в номинациях «Монета года», «Удачное художественное решение» и «Приз зрительских симпатий».</w:t>
      </w:r>
    </w:p>
    <w:p w14:paraId="635DD132" w14:textId="3DEC7202" w:rsidR="00430914" w:rsidRPr="00B068BF" w:rsidRDefault="00430914" w:rsidP="00B068BF">
      <w:pPr>
        <w:spacing w:after="0" w:line="240" w:lineRule="auto"/>
        <w:jc w:val="center"/>
        <w:rPr>
          <w:rFonts w:ascii="Times New Roman" w:hAnsi="Times New Roman" w:cs="Times New Roman"/>
          <w:lang w:val="ru-RU"/>
        </w:rPr>
      </w:pPr>
      <w:r w:rsidRPr="00B068BF">
        <w:rPr>
          <w:rFonts w:ascii="Times New Roman" w:hAnsi="Times New Roman" w:cs="Times New Roman"/>
          <w:noProof/>
          <w:lang w:val="ru-RU" w:eastAsia="ru-RU"/>
        </w:rPr>
        <w:drawing>
          <wp:inline distT="0" distB="0" distL="0" distR="0" wp14:anchorId="6366C7CF" wp14:editId="3FC14886">
            <wp:extent cx="1383003" cy="1383003"/>
            <wp:effectExtent l="0" t="0" r="8255" b="8255"/>
            <wp:docPr id="32" name="Picture 32" descr="D:\Nune\My documents\Issue Reserves\COINS\Collector coins\Coin 2020-2021\Lithuania 2020-2021\Photos\Coins 2021\Arno Babajanyan-100\Arn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Nune\My documents\Issue Reserves\COINS\Collector coins\Coin 2020-2021\Lithuania 2020-2021\Photos\Coins 2021\Arno Babajanyan-100\Arno-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93359" cy="1393359"/>
                    </a:xfrm>
                    <a:prstGeom prst="rect">
                      <a:avLst/>
                    </a:prstGeom>
                    <a:noFill/>
                    <a:ln>
                      <a:noFill/>
                    </a:ln>
                  </pic:spPr>
                </pic:pic>
              </a:graphicData>
            </a:graphic>
          </wp:inline>
        </w:drawing>
      </w:r>
      <w:r w:rsidRPr="00B068BF">
        <w:rPr>
          <w:rFonts w:ascii="Times New Roman" w:hAnsi="Times New Roman" w:cs="Times New Roman"/>
          <w:noProof/>
          <w:lang w:val="ru-RU" w:eastAsia="ru-RU"/>
        </w:rPr>
        <w:drawing>
          <wp:inline distT="0" distB="0" distL="0" distR="0" wp14:anchorId="642E225C" wp14:editId="58E9207A">
            <wp:extent cx="1367624" cy="1375167"/>
            <wp:effectExtent l="0" t="0" r="4445" b="0"/>
            <wp:docPr id="33" name="Picture 33" descr="D:\Nune\My documents\Issue Reserves\COINS\Collector coins\Coin 2020-2021\Lithuania 2020-2021\Photos\Coins 2021\Arno Babajanyan-100\Arn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Nune\My documents\Issue Reserves\COINS\Collector coins\Coin 2020-2021\Lithuania 2020-2021\Photos\Coins 2021\Arno Babajanyan-100\Arno-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83939" cy="1391572"/>
                    </a:xfrm>
                    <a:prstGeom prst="rect">
                      <a:avLst/>
                    </a:prstGeom>
                    <a:noFill/>
                    <a:ln>
                      <a:noFill/>
                    </a:ln>
                  </pic:spPr>
                </pic:pic>
              </a:graphicData>
            </a:graphic>
          </wp:inline>
        </w:drawing>
      </w:r>
    </w:p>
    <w:p w14:paraId="212F53EB" w14:textId="77777777" w:rsidR="00294E39" w:rsidRPr="00B068BF" w:rsidRDefault="00294E39" w:rsidP="003C6ADB">
      <w:pPr>
        <w:spacing w:after="0" w:line="240" w:lineRule="auto"/>
        <w:ind w:firstLine="36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 xml:space="preserve">В 2022 году была продолжена программа по выпуску золотых и серебряных инвестиционных монет «Ноев Ковчег» и их реализации на европейском и американском инвестиционных рынках. По сравнению с предыдущим годом объемы продаж золотых </w:t>
      </w:r>
      <w:r w:rsidRPr="00B068BF">
        <w:rPr>
          <w:rFonts w:ascii="Times New Roman" w:hAnsi="Times New Roman" w:cs="Times New Roman"/>
          <w:sz w:val="24"/>
          <w:szCs w:val="24"/>
          <w:lang w:val="ru-RU"/>
        </w:rPr>
        <w:lastRenderedPageBreak/>
        <w:t xml:space="preserve">монет увеличились на 15%, а серебряных – на 48%. За год было реализовано 38.803 золотых и 4.045.363 серебряных монет. Относительно большим спросом пользуются 1-граммовые золотые и 1-унцовые серебряные монеты. </w:t>
      </w:r>
    </w:p>
    <w:p w14:paraId="2FB30F4D" w14:textId="77777777" w:rsidR="00294E39" w:rsidRPr="00B068BF" w:rsidRDefault="00294E39" w:rsidP="00294E39">
      <w:pPr>
        <w:tabs>
          <w:tab w:val="left" w:pos="851"/>
        </w:tabs>
        <w:spacing w:after="0" w:line="240" w:lineRule="auto"/>
        <w:jc w:val="both"/>
        <w:rPr>
          <w:rFonts w:ascii="Times New Roman" w:hAnsi="Times New Roman" w:cs="Times New Roman"/>
          <w:b/>
          <w:sz w:val="24"/>
          <w:szCs w:val="24"/>
          <w:lang w:val="ru-RU"/>
        </w:rPr>
      </w:pPr>
    </w:p>
    <w:p w14:paraId="035EC7E8" w14:textId="77777777" w:rsidR="00A7203D" w:rsidRPr="00B068BF" w:rsidRDefault="00A7203D" w:rsidP="00D6401B">
      <w:pPr>
        <w:pStyle w:val="a3"/>
        <w:numPr>
          <w:ilvl w:val="0"/>
          <w:numId w:val="3"/>
        </w:numPr>
        <w:tabs>
          <w:tab w:val="left" w:pos="851"/>
        </w:tabs>
        <w:spacing w:after="0" w:line="240" w:lineRule="auto"/>
        <w:jc w:val="both"/>
        <w:rPr>
          <w:rFonts w:ascii="Times New Roman" w:hAnsi="Times New Roman" w:cs="Times New Roman"/>
          <w:b/>
          <w:sz w:val="24"/>
          <w:szCs w:val="24"/>
          <w:lang w:val="ru-RU"/>
        </w:rPr>
      </w:pPr>
      <w:r w:rsidRPr="00B068BF">
        <w:rPr>
          <w:rFonts w:ascii="Times New Roman" w:hAnsi="Times New Roman" w:cs="Times New Roman"/>
          <w:b/>
          <w:sz w:val="24"/>
          <w:szCs w:val="24"/>
          <w:lang w:val="ru-RU"/>
        </w:rPr>
        <w:t xml:space="preserve">Национальный банк </w:t>
      </w:r>
      <w:r w:rsidR="00D6459F" w:rsidRPr="00B068BF">
        <w:rPr>
          <w:rFonts w:ascii="Times New Roman" w:hAnsi="Times New Roman" w:cs="Times New Roman"/>
          <w:b/>
          <w:sz w:val="24"/>
          <w:szCs w:val="24"/>
          <w:lang w:val="ru-RU"/>
        </w:rPr>
        <w:t xml:space="preserve">Республики </w:t>
      </w:r>
      <w:r w:rsidRPr="00B068BF">
        <w:rPr>
          <w:rFonts w:ascii="Times New Roman" w:hAnsi="Times New Roman" w:cs="Times New Roman"/>
          <w:b/>
          <w:sz w:val="24"/>
          <w:szCs w:val="24"/>
          <w:lang w:val="ru-RU"/>
        </w:rPr>
        <w:t>Беларус</w:t>
      </w:r>
      <w:r w:rsidR="00D6459F" w:rsidRPr="00B068BF">
        <w:rPr>
          <w:rFonts w:ascii="Times New Roman" w:hAnsi="Times New Roman" w:cs="Times New Roman"/>
          <w:b/>
          <w:sz w:val="24"/>
          <w:szCs w:val="24"/>
          <w:lang w:val="ru-RU"/>
        </w:rPr>
        <w:t>ь</w:t>
      </w:r>
    </w:p>
    <w:p w14:paraId="6627B4F8" w14:textId="77777777" w:rsidR="00294E39" w:rsidRPr="00B068BF" w:rsidRDefault="00294E39" w:rsidP="002750B6">
      <w:pPr>
        <w:spacing w:after="0" w:line="240" w:lineRule="auto"/>
        <w:ind w:firstLine="36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Национальный банк Республики Беларусь 1 июля 2022 года представил общественности и выпустил в обращение новую банкноту номиналом 100 белорусских рублей. Выпуск в обращение новой банкноты осуществлен в рамках плановых мероприятий Национального банка по актуализации дизайна и защитного комплекса находящихся в обращении банкнот, а также замене ветхих и поврежденных банкнот на годные к обращению банкноты.</w:t>
      </w:r>
    </w:p>
    <w:p w14:paraId="1C5675F2" w14:textId="77777777" w:rsidR="002750B6" w:rsidRPr="00B068BF" w:rsidRDefault="002750B6" w:rsidP="003C6ADB">
      <w:pPr>
        <w:spacing w:after="0" w:line="240" w:lineRule="auto"/>
        <w:ind w:firstLine="36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В соответствии с Перечнем памятных монет, планируемых к выпуску на 2022 год (постановление Правления Национального банка Республики Беларусь от 19 ноября 2021 г. № 346 выпущено в обращение 12 наименований памятных монет. На внутреннем рынке реализовано 53</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920 памятных монет.</w:t>
      </w:r>
    </w:p>
    <w:p w14:paraId="3BF79550" w14:textId="77777777" w:rsidR="00A7203D" w:rsidRPr="00B068BF" w:rsidRDefault="00A7203D" w:rsidP="00D6459F">
      <w:pPr>
        <w:tabs>
          <w:tab w:val="left" w:pos="851"/>
        </w:tabs>
        <w:spacing w:after="0" w:line="240" w:lineRule="auto"/>
        <w:jc w:val="both"/>
        <w:rPr>
          <w:rFonts w:ascii="Times New Roman" w:hAnsi="Times New Roman" w:cs="Times New Roman"/>
          <w:b/>
          <w:sz w:val="24"/>
          <w:szCs w:val="24"/>
          <w:lang w:val="ru-RU"/>
        </w:rPr>
      </w:pPr>
    </w:p>
    <w:p w14:paraId="2427F415" w14:textId="77777777" w:rsidR="00A7203D" w:rsidRPr="00B068BF" w:rsidRDefault="00CD63F2" w:rsidP="00E15D31">
      <w:pPr>
        <w:pStyle w:val="a3"/>
        <w:numPr>
          <w:ilvl w:val="0"/>
          <w:numId w:val="3"/>
        </w:numPr>
        <w:tabs>
          <w:tab w:val="left" w:pos="851"/>
        </w:tabs>
        <w:spacing w:after="0" w:line="240" w:lineRule="auto"/>
        <w:jc w:val="both"/>
        <w:rPr>
          <w:rFonts w:ascii="Times New Roman" w:hAnsi="Times New Roman" w:cs="Times New Roman"/>
          <w:b/>
          <w:sz w:val="24"/>
          <w:szCs w:val="24"/>
          <w:lang w:val="ru-RU"/>
        </w:rPr>
      </w:pPr>
      <w:r w:rsidRPr="00B068BF">
        <w:rPr>
          <w:rFonts w:ascii="Times New Roman" w:hAnsi="Times New Roman" w:cs="Times New Roman"/>
          <w:b/>
          <w:sz w:val="24"/>
          <w:szCs w:val="24"/>
          <w:lang w:val="ru-RU"/>
        </w:rPr>
        <w:t>Национальный банк Республики Казахстан</w:t>
      </w:r>
    </w:p>
    <w:p w14:paraId="2BCB9130" w14:textId="77777777" w:rsidR="00294E39" w:rsidRPr="00B068BF" w:rsidRDefault="00294E39" w:rsidP="00E15D31">
      <w:pPr>
        <w:spacing w:after="0" w:line="240" w:lineRule="auto"/>
        <w:ind w:firstLine="36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Национальный банк Казахстана в 2022 году изготовил и выпустил 5 319,5 тыс. штук коллекционных монет, из них 29,5 тыс. штук из серебра, 140 тыс. штук из сплава мельхиор и 5 150 тыс. штук из сплава нейзильбер/нибрасс.</w:t>
      </w:r>
    </w:p>
    <w:p w14:paraId="3B8DA3D2" w14:textId="77777777" w:rsidR="00294E39" w:rsidRPr="00B068BF" w:rsidRDefault="00294E39" w:rsidP="00E15D31">
      <w:pPr>
        <w:spacing w:after="0" w:line="240" w:lineRule="auto"/>
        <w:ind w:firstLine="36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 xml:space="preserve">В 2022 году продолжилась реализация коллекционных монет через пилотную платформу Интернет-магазина </w:t>
      </w:r>
      <w:r w:rsidRPr="00B068BF">
        <w:rPr>
          <w:rFonts w:ascii="Times New Roman" w:hAnsi="Times New Roman" w:cs="Times New Roman"/>
          <w:sz w:val="24"/>
          <w:szCs w:val="24"/>
        </w:rPr>
        <w:t>www</w:t>
      </w:r>
      <w:r w:rsidRPr="00B068BF">
        <w:rPr>
          <w:rFonts w:ascii="Times New Roman" w:hAnsi="Times New Roman" w:cs="Times New Roman"/>
          <w:sz w:val="24"/>
          <w:szCs w:val="24"/>
          <w:lang w:val="ru-RU"/>
        </w:rPr>
        <w:t>.</w:t>
      </w:r>
      <w:r w:rsidRPr="00B068BF">
        <w:rPr>
          <w:rFonts w:ascii="Times New Roman" w:hAnsi="Times New Roman" w:cs="Times New Roman"/>
          <w:sz w:val="24"/>
          <w:szCs w:val="24"/>
        </w:rPr>
        <w:t>kazcoins</w:t>
      </w:r>
      <w:r w:rsidRPr="00B068BF">
        <w:rPr>
          <w:rFonts w:ascii="Times New Roman" w:hAnsi="Times New Roman" w:cs="Times New Roman"/>
          <w:sz w:val="24"/>
          <w:szCs w:val="24"/>
          <w:lang w:val="ru-RU"/>
        </w:rPr>
        <w:t>.</w:t>
      </w:r>
      <w:r w:rsidRPr="00B068BF">
        <w:rPr>
          <w:rFonts w:ascii="Times New Roman" w:hAnsi="Times New Roman" w:cs="Times New Roman"/>
          <w:sz w:val="24"/>
          <w:szCs w:val="24"/>
        </w:rPr>
        <w:t>nationalbank</w:t>
      </w:r>
      <w:r w:rsidRPr="00B068BF">
        <w:rPr>
          <w:rFonts w:ascii="Times New Roman" w:hAnsi="Times New Roman" w:cs="Times New Roman"/>
          <w:sz w:val="24"/>
          <w:szCs w:val="24"/>
          <w:lang w:val="ru-RU"/>
        </w:rPr>
        <w:t>.</w:t>
      </w:r>
      <w:r w:rsidRPr="00B068BF">
        <w:rPr>
          <w:rFonts w:ascii="Times New Roman" w:hAnsi="Times New Roman" w:cs="Times New Roman"/>
          <w:sz w:val="24"/>
          <w:szCs w:val="24"/>
        </w:rPr>
        <w:t>kz</w:t>
      </w:r>
      <w:r w:rsidRPr="00B068BF">
        <w:rPr>
          <w:rFonts w:ascii="Times New Roman" w:hAnsi="Times New Roman" w:cs="Times New Roman"/>
          <w:sz w:val="24"/>
          <w:szCs w:val="24"/>
          <w:lang w:val="ru-RU"/>
        </w:rPr>
        <w:t>. За отчетный период через Интернет-магазин реализовано 348</w:t>
      </w:r>
      <w:r w:rsidR="00227605" w:rsidRPr="00B068BF">
        <w:rPr>
          <w:rFonts w:ascii="Times New Roman" w:hAnsi="Times New Roman" w:cs="Times New Roman"/>
          <w:sz w:val="24"/>
          <w:szCs w:val="24"/>
          <w:lang w:val="ru-RU"/>
        </w:rPr>
        <w:t>.</w:t>
      </w:r>
      <w:r w:rsidRPr="00B068BF">
        <w:rPr>
          <w:rFonts w:ascii="Times New Roman" w:hAnsi="Times New Roman" w:cs="Times New Roman"/>
          <w:sz w:val="24"/>
          <w:szCs w:val="24"/>
          <w:lang w:val="ru-RU"/>
        </w:rPr>
        <w:t>649 шт. коллекционных монет.</w:t>
      </w:r>
    </w:p>
    <w:p w14:paraId="43D290C5" w14:textId="77777777" w:rsidR="00294E39" w:rsidRPr="00B068BF" w:rsidRDefault="00294E39" w:rsidP="00E15D31">
      <w:pPr>
        <w:spacing w:after="0" w:line="240" w:lineRule="auto"/>
        <w:ind w:firstLine="36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 xml:space="preserve">Программа по продаже и выкупу мерных слитков аффинированного золота для населения была запущена Национальным </w:t>
      </w:r>
      <w:r w:rsidR="00227605" w:rsidRPr="00B068BF">
        <w:rPr>
          <w:rFonts w:ascii="Times New Roman" w:hAnsi="Times New Roman" w:cs="Times New Roman"/>
          <w:sz w:val="24"/>
          <w:szCs w:val="24"/>
          <w:lang w:val="ru-RU"/>
        </w:rPr>
        <w:t>б</w:t>
      </w:r>
      <w:r w:rsidRPr="00B068BF">
        <w:rPr>
          <w:rFonts w:ascii="Times New Roman" w:hAnsi="Times New Roman" w:cs="Times New Roman"/>
          <w:sz w:val="24"/>
          <w:szCs w:val="24"/>
          <w:lang w:val="ru-RU"/>
        </w:rPr>
        <w:t>анком</w:t>
      </w:r>
      <w:r w:rsidR="00227605" w:rsidRPr="00B068BF">
        <w:rPr>
          <w:rFonts w:ascii="Times New Roman" w:hAnsi="Times New Roman" w:cs="Times New Roman"/>
          <w:sz w:val="24"/>
          <w:szCs w:val="24"/>
          <w:lang w:val="ru-RU"/>
        </w:rPr>
        <w:t xml:space="preserve"> Казахстана</w:t>
      </w:r>
      <w:r w:rsidRPr="00B068BF">
        <w:rPr>
          <w:rFonts w:ascii="Times New Roman" w:hAnsi="Times New Roman" w:cs="Times New Roman"/>
          <w:sz w:val="24"/>
          <w:szCs w:val="24"/>
          <w:lang w:val="ru-RU"/>
        </w:rPr>
        <w:t xml:space="preserve"> в 2017 году. Золотые слитки реализуются через 4 банка и отдельные организации, уполномоченные на проведение операций с наличной иностранной валютой (обменные пункты). Золотые слитки представлены в пяти разновидностях: 5, 10, 20, 50 и 100 г. Наибольшей популярностью среди покупателей в 2022 году пользовался слиток весом 5 г. </w:t>
      </w:r>
    </w:p>
    <w:p w14:paraId="0008BB79" w14:textId="77777777" w:rsidR="00294E39" w:rsidRPr="00B068BF" w:rsidRDefault="00227605" w:rsidP="00E15D31">
      <w:pPr>
        <w:tabs>
          <w:tab w:val="left" w:pos="360"/>
        </w:tabs>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ab/>
      </w:r>
      <w:r w:rsidR="00294E39" w:rsidRPr="00B068BF">
        <w:rPr>
          <w:rFonts w:ascii="Times New Roman" w:hAnsi="Times New Roman" w:cs="Times New Roman"/>
          <w:sz w:val="24"/>
          <w:szCs w:val="24"/>
          <w:lang w:val="ru-RU"/>
        </w:rPr>
        <w:t xml:space="preserve">Инвестиционные монеты Национального </w:t>
      </w:r>
      <w:r w:rsidRPr="00B068BF">
        <w:rPr>
          <w:rFonts w:ascii="Times New Roman" w:hAnsi="Times New Roman" w:cs="Times New Roman"/>
          <w:sz w:val="24"/>
          <w:szCs w:val="24"/>
          <w:lang w:val="ru-RU"/>
        </w:rPr>
        <w:t>б</w:t>
      </w:r>
      <w:r w:rsidR="00294E39" w:rsidRPr="00B068BF">
        <w:rPr>
          <w:rFonts w:ascii="Times New Roman" w:hAnsi="Times New Roman" w:cs="Times New Roman"/>
          <w:sz w:val="24"/>
          <w:szCs w:val="24"/>
          <w:lang w:val="ru-RU"/>
        </w:rPr>
        <w:t>анка</w:t>
      </w:r>
      <w:r w:rsidRPr="00B068BF">
        <w:rPr>
          <w:rFonts w:ascii="Times New Roman" w:hAnsi="Times New Roman" w:cs="Times New Roman"/>
          <w:sz w:val="24"/>
          <w:szCs w:val="24"/>
          <w:lang w:val="ru-RU"/>
        </w:rPr>
        <w:t xml:space="preserve"> Казахстана</w:t>
      </w:r>
      <w:r w:rsidR="00294E39" w:rsidRPr="00B068BF">
        <w:rPr>
          <w:rFonts w:ascii="Times New Roman" w:hAnsi="Times New Roman" w:cs="Times New Roman"/>
          <w:sz w:val="24"/>
          <w:szCs w:val="24"/>
          <w:lang w:val="ru-RU"/>
        </w:rPr>
        <w:t xml:space="preserve"> «ALTYN BARYS» и «KÚMIS BARYS» стали выпускаться с ноября 2009 года с разными весовыми характеристиками. Инвестиционные монеты реализуются и принимаются на обратный выкуп через филиалы Национального </w:t>
      </w:r>
      <w:r w:rsidRPr="00B068BF">
        <w:rPr>
          <w:rFonts w:ascii="Times New Roman" w:hAnsi="Times New Roman" w:cs="Times New Roman"/>
          <w:sz w:val="24"/>
          <w:szCs w:val="24"/>
          <w:lang w:val="ru-RU"/>
        </w:rPr>
        <w:t>б</w:t>
      </w:r>
      <w:r w:rsidR="00294E39" w:rsidRPr="00B068BF">
        <w:rPr>
          <w:rFonts w:ascii="Times New Roman" w:hAnsi="Times New Roman" w:cs="Times New Roman"/>
          <w:sz w:val="24"/>
          <w:szCs w:val="24"/>
          <w:lang w:val="ru-RU"/>
        </w:rPr>
        <w:t>анка</w:t>
      </w:r>
      <w:r w:rsidRPr="00B068BF">
        <w:rPr>
          <w:rFonts w:ascii="Times New Roman" w:hAnsi="Times New Roman" w:cs="Times New Roman"/>
          <w:sz w:val="24"/>
          <w:szCs w:val="24"/>
          <w:lang w:val="ru-RU"/>
        </w:rPr>
        <w:t xml:space="preserve"> Казахстана</w:t>
      </w:r>
      <w:r w:rsidR="00294E39" w:rsidRPr="00B068BF">
        <w:rPr>
          <w:rFonts w:ascii="Times New Roman" w:hAnsi="Times New Roman" w:cs="Times New Roman"/>
          <w:sz w:val="24"/>
          <w:szCs w:val="24"/>
          <w:lang w:val="ru-RU"/>
        </w:rPr>
        <w:t>.</w:t>
      </w:r>
    </w:p>
    <w:p w14:paraId="6A0CC5A1" w14:textId="77777777" w:rsidR="002750B6" w:rsidRPr="00B068BF" w:rsidRDefault="002750B6" w:rsidP="00E15D31">
      <w:pPr>
        <w:tabs>
          <w:tab w:val="left" w:pos="851"/>
        </w:tabs>
        <w:spacing w:after="0" w:line="240" w:lineRule="auto"/>
        <w:jc w:val="both"/>
        <w:rPr>
          <w:rFonts w:ascii="Times New Roman" w:hAnsi="Times New Roman" w:cs="Times New Roman"/>
          <w:b/>
          <w:sz w:val="24"/>
          <w:szCs w:val="24"/>
          <w:lang w:val="ru-RU"/>
        </w:rPr>
      </w:pPr>
    </w:p>
    <w:p w14:paraId="0706A5EF" w14:textId="77777777" w:rsidR="009B3EEF" w:rsidRPr="00B068BF" w:rsidRDefault="009B3EEF" w:rsidP="00E15D31">
      <w:pPr>
        <w:pStyle w:val="a3"/>
        <w:numPr>
          <w:ilvl w:val="0"/>
          <w:numId w:val="3"/>
        </w:numPr>
        <w:tabs>
          <w:tab w:val="left" w:pos="851"/>
        </w:tabs>
        <w:spacing w:after="0" w:line="240" w:lineRule="auto"/>
        <w:jc w:val="both"/>
        <w:rPr>
          <w:rFonts w:ascii="Times New Roman" w:hAnsi="Times New Roman" w:cs="Times New Roman"/>
          <w:b/>
          <w:sz w:val="24"/>
          <w:szCs w:val="24"/>
          <w:lang w:val="ru-RU"/>
        </w:rPr>
      </w:pPr>
      <w:r w:rsidRPr="00B068BF">
        <w:rPr>
          <w:rFonts w:ascii="Times New Roman" w:hAnsi="Times New Roman" w:cs="Times New Roman"/>
          <w:b/>
          <w:sz w:val="24"/>
          <w:szCs w:val="24"/>
          <w:lang w:val="ru-RU"/>
        </w:rPr>
        <w:t>Национальный банк Кыргызской Республики</w:t>
      </w:r>
    </w:p>
    <w:p w14:paraId="251866EA" w14:textId="77777777" w:rsidR="005573B4" w:rsidRPr="00B068BF" w:rsidRDefault="005573B4" w:rsidP="00E15D31">
      <w:pPr>
        <w:spacing w:after="0" w:line="240" w:lineRule="auto"/>
        <w:ind w:firstLine="36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 xml:space="preserve">В целях популяризации и сохранения редких видов флоры республики, занесенных </w:t>
      </w:r>
      <w:r w:rsidRPr="00B068BF">
        <w:rPr>
          <w:rFonts w:ascii="Times New Roman" w:hAnsi="Times New Roman" w:cs="Times New Roman"/>
          <w:sz w:val="24"/>
          <w:szCs w:val="24"/>
          <w:lang w:val="ru-RU"/>
        </w:rPr>
        <w:br/>
        <w:t xml:space="preserve">в Красную книгу Кыргызстана, а также отражения исторических событий и достижений </w:t>
      </w:r>
      <w:r w:rsidRPr="00B068BF">
        <w:rPr>
          <w:rFonts w:ascii="Times New Roman" w:hAnsi="Times New Roman" w:cs="Times New Roman"/>
          <w:sz w:val="24"/>
          <w:szCs w:val="24"/>
          <w:lang w:val="ru-RU"/>
        </w:rPr>
        <w:br/>
        <w:t>в области спорта, в 2022 году Национальным банком Кыргызской Республики выпущены две серебряные коллекционные монеты:</w:t>
      </w:r>
    </w:p>
    <w:p w14:paraId="3430F57A" w14:textId="77777777" w:rsidR="005573B4" w:rsidRPr="00B068BF" w:rsidRDefault="005573B4" w:rsidP="00E15D31">
      <w:pPr>
        <w:tabs>
          <w:tab w:val="left" w:pos="993"/>
        </w:tabs>
        <w:spacing w:after="0" w:line="240" w:lineRule="auto"/>
        <w:ind w:left="709"/>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 «Азиатские игры» серии «Спорт» (рис.1).</w:t>
      </w:r>
    </w:p>
    <w:p w14:paraId="55461453" w14:textId="77777777" w:rsidR="005573B4" w:rsidRPr="00B068BF" w:rsidRDefault="005573B4" w:rsidP="005573B4">
      <w:pPr>
        <w:tabs>
          <w:tab w:val="left" w:pos="993"/>
        </w:tabs>
        <w:spacing w:after="0" w:line="240" w:lineRule="auto"/>
        <w:ind w:left="709"/>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 «Барбарис кашгарский» (рис.2).</w:t>
      </w:r>
    </w:p>
    <w:p w14:paraId="7C86872B" w14:textId="2033D92A" w:rsidR="005573B4" w:rsidRDefault="005573B4" w:rsidP="005573B4">
      <w:pPr>
        <w:spacing w:after="0" w:line="240" w:lineRule="auto"/>
        <w:ind w:firstLine="708"/>
        <w:jc w:val="both"/>
        <w:rPr>
          <w:rFonts w:ascii="Times New Roman" w:hAnsi="Times New Roman" w:cs="Times New Roman"/>
          <w:lang w:val="ru-RU"/>
        </w:rPr>
      </w:pPr>
    </w:p>
    <w:p w14:paraId="001ED35D" w14:textId="399F459E" w:rsidR="00B068BF" w:rsidRDefault="00B068BF" w:rsidP="005573B4">
      <w:pPr>
        <w:spacing w:after="0" w:line="240" w:lineRule="auto"/>
        <w:ind w:firstLine="708"/>
        <w:jc w:val="both"/>
        <w:rPr>
          <w:rFonts w:ascii="Times New Roman" w:hAnsi="Times New Roman" w:cs="Times New Roman"/>
          <w:lang w:val="ru-RU"/>
        </w:rPr>
      </w:pPr>
    </w:p>
    <w:p w14:paraId="2E3E8608" w14:textId="2FA8BBA5" w:rsidR="00B068BF" w:rsidRDefault="00B068BF" w:rsidP="005573B4">
      <w:pPr>
        <w:spacing w:after="0" w:line="240" w:lineRule="auto"/>
        <w:ind w:firstLine="708"/>
        <w:jc w:val="both"/>
        <w:rPr>
          <w:rFonts w:ascii="Times New Roman" w:hAnsi="Times New Roman" w:cs="Times New Roman"/>
          <w:lang w:val="ru-RU"/>
        </w:rPr>
      </w:pPr>
    </w:p>
    <w:p w14:paraId="77338181" w14:textId="0DFC2688" w:rsidR="00B068BF" w:rsidRDefault="00B068BF" w:rsidP="005573B4">
      <w:pPr>
        <w:spacing w:after="0" w:line="240" w:lineRule="auto"/>
        <w:ind w:firstLine="708"/>
        <w:jc w:val="both"/>
        <w:rPr>
          <w:rFonts w:ascii="Times New Roman" w:hAnsi="Times New Roman" w:cs="Times New Roman"/>
          <w:lang w:val="ru-RU"/>
        </w:rPr>
      </w:pPr>
    </w:p>
    <w:p w14:paraId="1D5EDBD7" w14:textId="5B2495EE" w:rsidR="00B068BF" w:rsidRDefault="00B068BF" w:rsidP="005573B4">
      <w:pPr>
        <w:spacing w:after="0" w:line="240" w:lineRule="auto"/>
        <w:ind w:firstLine="708"/>
        <w:jc w:val="both"/>
        <w:rPr>
          <w:rFonts w:ascii="Times New Roman" w:hAnsi="Times New Roman" w:cs="Times New Roman"/>
          <w:lang w:val="ru-RU"/>
        </w:rPr>
      </w:pPr>
    </w:p>
    <w:p w14:paraId="2598A899" w14:textId="6C88C6F4" w:rsidR="00B068BF" w:rsidRDefault="00B068BF" w:rsidP="005573B4">
      <w:pPr>
        <w:spacing w:after="0" w:line="240" w:lineRule="auto"/>
        <w:ind w:firstLine="708"/>
        <w:jc w:val="both"/>
        <w:rPr>
          <w:rFonts w:ascii="Times New Roman" w:hAnsi="Times New Roman" w:cs="Times New Roman"/>
          <w:lang w:val="ru-RU"/>
        </w:rPr>
      </w:pPr>
    </w:p>
    <w:p w14:paraId="56456285" w14:textId="3EE1671A" w:rsidR="00B068BF" w:rsidRDefault="00B068BF" w:rsidP="005573B4">
      <w:pPr>
        <w:spacing w:after="0" w:line="240" w:lineRule="auto"/>
        <w:ind w:firstLine="708"/>
        <w:jc w:val="both"/>
        <w:rPr>
          <w:rFonts w:ascii="Times New Roman" w:hAnsi="Times New Roman" w:cs="Times New Roman"/>
          <w:lang w:val="ru-RU"/>
        </w:rPr>
      </w:pPr>
    </w:p>
    <w:p w14:paraId="683D21AA" w14:textId="0C417311" w:rsidR="00B068BF" w:rsidRDefault="00B068BF" w:rsidP="005573B4">
      <w:pPr>
        <w:spacing w:after="0" w:line="240" w:lineRule="auto"/>
        <w:ind w:firstLine="708"/>
        <w:jc w:val="both"/>
        <w:rPr>
          <w:rFonts w:ascii="Times New Roman" w:hAnsi="Times New Roman" w:cs="Times New Roman"/>
          <w:lang w:val="ru-RU"/>
        </w:rPr>
      </w:pPr>
    </w:p>
    <w:p w14:paraId="45E813C4" w14:textId="734B0FB4" w:rsidR="00B068BF" w:rsidRDefault="00B068BF" w:rsidP="005573B4">
      <w:pPr>
        <w:spacing w:after="0" w:line="240" w:lineRule="auto"/>
        <w:ind w:firstLine="708"/>
        <w:jc w:val="both"/>
        <w:rPr>
          <w:rFonts w:ascii="Times New Roman" w:hAnsi="Times New Roman" w:cs="Times New Roman"/>
          <w:lang w:val="ru-RU"/>
        </w:rPr>
      </w:pPr>
    </w:p>
    <w:p w14:paraId="21A673DD" w14:textId="09B7A85A" w:rsidR="00B068BF" w:rsidRDefault="00B068BF" w:rsidP="005573B4">
      <w:pPr>
        <w:spacing w:after="0" w:line="240" w:lineRule="auto"/>
        <w:ind w:firstLine="708"/>
        <w:jc w:val="both"/>
        <w:rPr>
          <w:rFonts w:ascii="Times New Roman" w:hAnsi="Times New Roman" w:cs="Times New Roman"/>
          <w:lang w:val="ru-RU"/>
        </w:rPr>
      </w:pPr>
    </w:p>
    <w:p w14:paraId="65C2279C" w14:textId="64767E3C" w:rsidR="00B068BF" w:rsidRDefault="00B068BF" w:rsidP="005573B4">
      <w:pPr>
        <w:spacing w:after="0" w:line="240" w:lineRule="auto"/>
        <w:ind w:firstLine="708"/>
        <w:jc w:val="both"/>
        <w:rPr>
          <w:rFonts w:ascii="Times New Roman" w:hAnsi="Times New Roman" w:cs="Times New Roman"/>
          <w:lang w:val="ru-RU"/>
        </w:rPr>
      </w:pPr>
    </w:p>
    <w:p w14:paraId="5B23F212" w14:textId="77777777" w:rsidR="00B068BF" w:rsidRDefault="00B068BF" w:rsidP="005573B4">
      <w:pPr>
        <w:spacing w:after="0" w:line="240" w:lineRule="auto"/>
        <w:jc w:val="center"/>
        <w:rPr>
          <w:rFonts w:ascii="Times New Roman" w:hAnsi="Times New Roman" w:cs="Times New Roman"/>
          <w:sz w:val="20"/>
          <w:szCs w:val="20"/>
          <w:lang w:val="ru-RU"/>
        </w:rPr>
      </w:pPr>
    </w:p>
    <w:p w14:paraId="3DCA78DF" w14:textId="123D77A7" w:rsidR="005573B4" w:rsidRPr="00B068BF" w:rsidRDefault="005573B4" w:rsidP="005573B4">
      <w:pPr>
        <w:spacing w:after="0" w:line="240" w:lineRule="auto"/>
        <w:jc w:val="center"/>
        <w:rPr>
          <w:rFonts w:ascii="Times New Roman" w:hAnsi="Times New Roman" w:cs="Times New Roman"/>
          <w:sz w:val="20"/>
          <w:szCs w:val="20"/>
          <w:lang w:val="ru-RU"/>
        </w:rPr>
      </w:pPr>
      <w:r w:rsidRPr="00B068BF">
        <w:rPr>
          <w:rFonts w:ascii="Times New Roman" w:hAnsi="Times New Roman" w:cs="Times New Roman"/>
          <w:sz w:val="20"/>
          <w:szCs w:val="20"/>
          <w:lang w:val="ru-RU"/>
        </w:rPr>
        <w:lastRenderedPageBreak/>
        <w:t xml:space="preserve">Рис.1. </w:t>
      </w:r>
      <w:r w:rsidRPr="00B068BF">
        <w:rPr>
          <w:rFonts w:ascii="Times New Roman" w:hAnsi="Times New Roman" w:cs="Times New Roman"/>
          <w:b/>
          <w:sz w:val="20"/>
          <w:szCs w:val="20"/>
          <w:lang w:val="ru-RU"/>
        </w:rPr>
        <w:t>Серебряная монета «Азиатские игры»</w:t>
      </w:r>
    </w:p>
    <w:p w14:paraId="1B8BCF5E" w14:textId="77777777" w:rsidR="005573B4" w:rsidRPr="00B068BF" w:rsidRDefault="005573B4" w:rsidP="005573B4">
      <w:pPr>
        <w:spacing w:after="0" w:line="240" w:lineRule="auto"/>
        <w:jc w:val="center"/>
        <w:rPr>
          <w:rFonts w:ascii="Times New Roman" w:hAnsi="Times New Roman" w:cs="Times New Roman"/>
          <w:lang w:val="ru-RU"/>
        </w:rPr>
      </w:pPr>
    </w:p>
    <w:p w14:paraId="5D9F0025" w14:textId="77777777" w:rsidR="005573B4" w:rsidRPr="00B068BF" w:rsidRDefault="005573B4" w:rsidP="005573B4">
      <w:pPr>
        <w:spacing w:after="0" w:line="240" w:lineRule="auto"/>
        <w:jc w:val="center"/>
        <w:rPr>
          <w:rFonts w:ascii="Times New Roman" w:hAnsi="Times New Roman" w:cs="Times New Roman"/>
          <w:lang w:val="ru-RU"/>
        </w:rPr>
      </w:pPr>
      <w:r w:rsidRPr="00B068BF">
        <w:rPr>
          <w:rFonts w:ascii="Times New Roman" w:hAnsi="Times New Roman" w:cs="Times New Roman"/>
          <w:noProof/>
          <w:lang w:val="ru-RU" w:eastAsia="ru-RU"/>
        </w:rPr>
        <w:drawing>
          <wp:inline distT="0" distB="0" distL="0" distR="0" wp14:anchorId="028FC83C" wp14:editId="61014617">
            <wp:extent cx="3233040" cy="1587417"/>
            <wp:effectExtent l="0" t="0" r="571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АзигрыА.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273830" cy="1607445"/>
                    </a:xfrm>
                    <a:prstGeom prst="rect">
                      <a:avLst/>
                    </a:prstGeom>
                  </pic:spPr>
                </pic:pic>
              </a:graphicData>
            </a:graphic>
          </wp:inline>
        </w:drawing>
      </w:r>
    </w:p>
    <w:p w14:paraId="37D571B8" w14:textId="77777777" w:rsidR="005573B4" w:rsidRPr="00B068BF" w:rsidRDefault="005573B4" w:rsidP="005573B4">
      <w:pPr>
        <w:spacing w:after="0" w:line="240" w:lineRule="auto"/>
        <w:jc w:val="center"/>
        <w:rPr>
          <w:rFonts w:ascii="Times New Roman" w:hAnsi="Times New Roman" w:cs="Times New Roman"/>
          <w:b/>
          <w:i/>
          <w:noProof/>
          <w:lang w:val="ru-RU"/>
        </w:rPr>
      </w:pPr>
    </w:p>
    <w:p w14:paraId="1278775D" w14:textId="77777777" w:rsidR="005573B4" w:rsidRPr="00B068BF" w:rsidRDefault="005573B4" w:rsidP="005573B4">
      <w:pPr>
        <w:spacing w:after="0" w:line="240" w:lineRule="auto"/>
        <w:jc w:val="center"/>
        <w:rPr>
          <w:rFonts w:ascii="Times New Roman" w:hAnsi="Times New Roman" w:cs="Times New Roman"/>
          <w:b/>
          <w:sz w:val="20"/>
          <w:szCs w:val="20"/>
          <w:lang w:val="ru-RU"/>
        </w:rPr>
      </w:pPr>
      <w:r w:rsidRPr="00B068BF">
        <w:rPr>
          <w:rFonts w:ascii="Times New Roman" w:hAnsi="Times New Roman" w:cs="Times New Roman"/>
          <w:sz w:val="20"/>
          <w:szCs w:val="20"/>
          <w:lang w:val="ru-RU"/>
        </w:rPr>
        <w:t xml:space="preserve">Рис.2. </w:t>
      </w:r>
      <w:r w:rsidRPr="00B068BF">
        <w:rPr>
          <w:rFonts w:ascii="Times New Roman" w:hAnsi="Times New Roman" w:cs="Times New Roman"/>
          <w:b/>
          <w:sz w:val="20"/>
          <w:szCs w:val="20"/>
          <w:lang w:val="ru-RU"/>
        </w:rPr>
        <w:t>Серебряная монета «Барбарис кашгарский»</w:t>
      </w:r>
    </w:p>
    <w:p w14:paraId="3287E442" w14:textId="77777777" w:rsidR="005573B4" w:rsidRPr="00B068BF" w:rsidRDefault="005573B4" w:rsidP="005573B4">
      <w:pPr>
        <w:spacing w:after="0" w:line="240" w:lineRule="auto"/>
        <w:jc w:val="center"/>
        <w:rPr>
          <w:rFonts w:ascii="Times New Roman" w:hAnsi="Times New Roman" w:cs="Times New Roman"/>
          <w:lang w:val="ru-RU"/>
        </w:rPr>
      </w:pPr>
    </w:p>
    <w:p w14:paraId="224C77AB" w14:textId="77777777" w:rsidR="005573B4" w:rsidRPr="00B068BF" w:rsidRDefault="005573B4" w:rsidP="005573B4">
      <w:pPr>
        <w:spacing w:after="0" w:line="240" w:lineRule="auto"/>
        <w:jc w:val="center"/>
        <w:rPr>
          <w:rFonts w:ascii="Times New Roman" w:hAnsi="Times New Roman" w:cs="Times New Roman"/>
          <w:lang w:val="ru-RU"/>
        </w:rPr>
      </w:pPr>
      <w:r w:rsidRPr="00B068BF">
        <w:rPr>
          <w:rFonts w:ascii="Times New Roman" w:hAnsi="Times New Roman" w:cs="Times New Roman"/>
          <w:noProof/>
          <w:lang w:val="ru-RU" w:eastAsia="ru-RU"/>
        </w:rPr>
        <w:drawing>
          <wp:inline distT="0" distB="0" distL="0" distR="0" wp14:anchorId="08EAC537" wp14:editId="319C85D4">
            <wp:extent cx="1838936" cy="1377453"/>
            <wp:effectExtent l="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барбарисА.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78271" cy="1406917"/>
                    </a:xfrm>
                    <a:prstGeom prst="rect">
                      <a:avLst/>
                    </a:prstGeom>
                  </pic:spPr>
                </pic:pic>
              </a:graphicData>
            </a:graphic>
          </wp:inline>
        </w:drawing>
      </w:r>
      <w:r w:rsidR="00430914" w:rsidRPr="00B068BF">
        <w:rPr>
          <w:rFonts w:ascii="Times New Roman" w:hAnsi="Times New Roman" w:cs="Times New Roman"/>
          <w:noProof/>
          <w:lang w:val="ru-RU"/>
        </w:rPr>
        <w:t xml:space="preserve">    </w:t>
      </w:r>
      <w:r w:rsidRPr="00B068BF">
        <w:rPr>
          <w:rFonts w:ascii="Times New Roman" w:hAnsi="Times New Roman" w:cs="Times New Roman"/>
          <w:noProof/>
          <w:lang w:val="ru-RU" w:eastAsia="ru-RU"/>
        </w:rPr>
        <w:drawing>
          <wp:inline distT="0" distB="0" distL="0" distR="0" wp14:anchorId="5CC6EE5B" wp14:editId="56B2F8D1">
            <wp:extent cx="1812897" cy="1360249"/>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барбарисР.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843415" cy="1383147"/>
                    </a:xfrm>
                    <a:prstGeom prst="rect">
                      <a:avLst/>
                    </a:prstGeom>
                  </pic:spPr>
                </pic:pic>
              </a:graphicData>
            </a:graphic>
          </wp:inline>
        </w:drawing>
      </w:r>
    </w:p>
    <w:p w14:paraId="6A979DBB" w14:textId="77777777" w:rsidR="005573B4" w:rsidRPr="00B068BF" w:rsidRDefault="005573B4" w:rsidP="005573B4">
      <w:pPr>
        <w:spacing w:after="0" w:line="240" w:lineRule="auto"/>
        <w:ind w:firstLine="720"/>
        <w:jc w:val="both"/>
        <w:rPr>
          <w:rFonts w:ascii="Times New Roman" w:hAnsi="Times New Roman" w:cs="Times New Roman"/>
          <w:lang w:val="ru-RU"/>
        </w:rPr>
      </w:pPr>
    </w:p>
    <w:p w14:paraId="558AFB21" w14:textId="77777777" w:rsidR="005573B4" w:rsidRPr="00B068BF" w:rsidRDefault="005573B4" w:rsidP="005573B4">
      <w:pPr>
        <w:spacing w:after="0" w:line="240" w:lineRule="auto"/>
        <w:ind w:firstLine="36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В 2022 году Национальным банком была продолжена работа по реализации и обратному выкупу аффинированных золотых мерных слитков 999,9 пробы весом 1 г, 2 г, 5 г, 10 г, 31,1035 г (1 тройская унция) и 100 г.</w:t>
      </w:r>
    </w:p>
    <w:p w14:paraId="4FD105EB" w14:textId="77777777" w:rsidR="005573B4" w:rsidRPr="00B068BF" w:rsidRDefault="005573B4" w:rsidP="005573B4">
      <w:pPr>
        <w:spacing w:after="0" w:line="240" w:lineRule="auto"/>
        <w:ind w:firstLine="36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За 2022 год объем реализованных аффинированных золотых мерных слитков составил 125,3 кг на сумму 746,2 млн сомов. Объем обратно выкупленных аффинированных золотых мерных слитков за 2022 год составил 44,6 кг на сумму 245,7 млн сомов.</w:t>
      </w:r>
    </w:p>
    <w:p w14:paraId="20DCD58D" w14:textId="77777777" w:rsidR="000F3E40" w:rsidRPr="00B068BF" w:rsidRDefault="000F3E40" w:rsidP="00D6401B">
      <w:pPr>
        <w:spacing w:after="0" w:line="240" w:lineRule="auto"/>
        <w:ind w:firstLine="720"/>
        <w:jc w:val="both"/>
        <w:rPr>
          <w:rFonts w:ascii="Times New Roman" w:hAnsi="Times New Roman" w:cs="Times New Roman"/>
          <w:sz w:val="24"/>
          <w:szCs w:val="24"/>
          <w:lang w:val="ru-RU"/>
        </w:rPr>
      </w:pPr>
    </w:p>
    <w:p w14:paraId="52F93925" w14:textId="77777777" w:rsidR="000F3E40" w:rsidRPr="00B068BF" w:rsidRDefault="000F3E40" w:rsidP="000F3E40">
      <w:pPr>
        <w:pStyle w:val="a3"/>
        <w:numPr>
          <w:ilvl w:val="0"/>
          <w:numId w:val="3"/>
        </w:numPr>
        <w:tabs>
          <w:tab w:val="left" w:pos="851"/>
        </w:tabs>
        <w:spacing w:after="0" w:line="240" w:lineRule="auto"/>
        <w:jc w:val="both"/>
        <w:rPr>
          <w:rFonts w:ascii="Times New Roman" w:hAnsi="Times New Roman" w:cs="Times New Roman"/>
          <w:b/>
          <w:sz w:val="24"/>
          <w:szCs w:val="24"/>
          <w:lang w:val="ru-RU"/>
        </w:rPr>
      </w:pPr>
      <w:r w:rsidRPr="00B068BF">
        <w:rPr>
          <w:rFonts w:ascii="Times New Roman" w:hAnsi="Times New Roman" w:cs="Times New Roman"/>
          <w:b/>
          <w:sz w:val="24"/>
          <w:szCs w:val="24"/>
          <w:lang w:val="ru-RU"/>
        </w:rPr>
        <w:t>Центральный банк Российской Федерации</w:t>
      </w:r>
    </w:p>
    <w:p w14:paraId="3E121FC0" w14:textId="77777777" w:rsidR="00227605" w:rsidRPr="00B068BF" w:rsidRDefault="00227605" w:rsidP="00227605">
      <w:pPr>
        <w:pStyle w:val="aa"/>
        <w:spacing w:after="0" w:line="240" w:lineRule="auto"/>
        <w:ind w:left="0" w:firstLine="36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Банк России выпустил в обращение 30 июня 2022 года модернизированную банкноту Банка России номиналом 100 рублей выпуска 2022 года.</w:t>
      </w:r>
    </w:p>
    <w:p w14:paraId="5858E463" w14:textId="77777777" w:rsidR="00227605" w:rsidRPr="00B068BF" w:rsidRDefault="00227605" w:rsidP="00227605">
      <w:pPr>
        <w:spacing w:after="0" w:line="240" w:lineRule="auto"/>
        <w:jc w:val="both"/>
        <w:rPr>
          <w:rFonts w:ascii="Times New Roman" w:eastAsia="Times New Roman" w:hAnsi="Times New Roman" w:cs="Times New Roman"/>
          <w:sz w:val="24"/>
          <w:szCs w:val="24"/>
          <w:lang w:val="ru-RU"/>
        </w:rPr>
      </w:pPr>
      <w:r w:rsidRPr="00B068BF">
        <w:rPr>
          <w:rFonts w:ascii="Times New Roman" w:eastAsia="Times New Roman" w:hAnsi="Times New Roman" w:cs="Times New Roman"/>
          <w:sz w:val="24"/>
          <w:szCs w:val="24"/>
          <w:lang w:val="ru-RU"/>
        </w:rPr>
        <w:t>Вместе с тем, Банк России в 2022 году выпустил в обращение 48 видов памятных монет (одну золотую, 35 серебряных и 12 из недрагоценных металлов), а также три вида инвестиционных монет (две золотые и одну серебряную).</w:t>
      </w:r>
    </w:p>
    <w:p w14:paraId="653E896C" w14:textId="77777777" w:rsidR="00227605" w:rsidRPr="00B068BF" w:rsidRDefault="00227605" w:rsidP="00E15D31">
      <w:pPr>
        <w:spacing w:after="0" w:line="240" w:lineRule="auto"/>
        <w:ind w:firstLine="360"/>
        <w:jc w:val="both"/>
        <w:rPr>
          <w:rFonts w:ascii="Times New Roman" w:eastAsia="Times New Roman" w:hAnsi="Times New Roman" w:cs="Times New Roman"/>
          <w:b/>
          <w:sz w:val="24"/>
          <w:szCs w:val="24"/>
          <w:lang w:val="ru-RU"/>
        </w:rPr>
      </w:pPr>
      <w:r w:rsidRPr="00B068BF">
        <w:rPr>
          <w:rFonts w:ascii="Times New Roman" w:eastAsia="Times New Roman" w:hAnsi="Times New Roman" w:cs="Times New Roman"/>
          <w:b/>
          <w:sz w:val="24"/>
          <w:szCs w:val="24"/>
          <w:lang w:val="ru-RU"/>
        </w:rPr>
        <w:t>Инвестиционные:</w:t>
      </w:r>
    </w:p>
    <w:p w14:paraId="2B2ADDCF"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серебряная монета номиналом 3 рубля «Георгий Победоносец»;</w:t>
      </w:r>
    </w:p>
    <w:p w14:paraId="268C256B"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золотая монета номиналом 50 рублей «Георгий Победоносец»;</w:t>
      </w:r>
    </w:p>
    <w:p w14:paraId="69843DD4"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золотая монета номиналом 100 рублей «Георгий Победоносец».</w:t>
      </w:r>
    </w:p>
    <w:p w14:paraId="1144E48E" w14:textId="77777777" w:rsidR="00227605" w:rsidRPr="00B068BF" w:rsidRDefault="00227605" w:rsidP="00E15D31">
      <w:pPr>
        <w:spacing w:after="0" w:line="240" w:lineRule="auto"/>
        <w:ind w:firstLine="360"/>
        <w:jc w:val="both"/>
        <w:rPr>
          <w:rFonts w:ascii="Times New Roman" w:hAnsi="Times New Roman" w:cs="Times New Roman"/>
          <w:b/>
          <w:sz w:val="24"/>
          <w:szCs w:val="24"/>
          <w:lang w:val="ru-RU"/>
        </w:rPr>
      </w:pPr>
      <w:r w:rsidRPr="00B068BF">
        <w:rPr>
          <w:rFonts w:ascii="Times New Roman" w:hAnsi="Times New Roman" w:cs="Times New Roman"/>
          <w:b/>
          <w:sz w:val="24"/>
          <w:szCs w:val="24"/>
          <w:lang w:val="ru-RU"/>
        </w:rPr>
        <w:t>Памятные:</w:t>
      </w:r>
    </w:p>
    <w:p w14:paraId="1B00DCB4"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серебряная монета номиналом 3 рубля «100-летие образования в составе отечественных органов безопасности контрразведывательных подразделений»;</w:t>
      </w:r>
    </w:p>
    <w:p w14:paraId="0B1F92F3"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серебряная монета номиналом 3 рубля «100-летие со дня создания ОКБ А.Н. Туполева»;</w:t>
      </w:r>
    </w:p>
    <w:p w14:paraId="55553889"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серебряная монета номиналом 3 рубля «220-летие образования Министерства финансов Российской Федерации»;</w:t>
      </w:r>
    </w:p>
    <w:p w14:paraId="4166CBD1"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серебряная монета номиналом 3 рубля «100-летие образования Чеченской Республики»;</w:t>
      </w:r>
    </w:p>
    <w:p w14:paraId="1FA5E7EB"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серебряная монета номиналом 3 рубля «Международный форум по сохранению популяции тигра»;</w:t>
      </w:r>
    </w:p>
    <w:p w14:paraId="3ABEF7CA"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серебряная монета номиналом 3 рубля «100-летие образования Республики Адыгея»;</w:t>
      </w:r>
    </w:p>
    <w:p w14:paraId="4B34DCEB"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серебряная монета номиналом 3 рубля «100-летний юбилей нелегальной разведки»;</w:t>
      </w:r>
    </w:p>
    <w:p w14:paraId="460C09B9"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lastRenderedPageBreak/>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серебряная монета номиналом 3 рубля «К 100-летию признания Чуйского тракта дорогой государственного значения»;</w:t>
      </w:r>
    </w:p>
    <w:p w14:paraId="56DDDCB1"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серебряная монета номиналом 3 рубля «100-летие образования Якутской АССР»;</w:t>
      </w:r>
    </w:p>
    <w:p w14:paraId="18684E04"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серебряная монета номиналом 3 рубля «220-летие образования Министерства иностранных дел Российской Федерации и 20-летие учреждения профессионального праздника – Дня дипломатического работника»;</w:t>
      </w:r>
    </w:p>
    <w:p w14:paraId="7485AF84"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серебряная монета номиналом 3 рубля «100-летие образования Кабардино-Балкарской Республики»;</w:t>
      </w:r>
    </w:p>
    <w:p w14:paraId="47AB4068"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серебряная монета номиналом 2 рубля «Социолог, естествоиспытатель Н.Я. Данилевский, к 200-летию со дня рождения» серии «Выдающиеся личности России»;</w:t>
      </w:r>
    </w:p>
    <w:p w14:paraId="0FD2AD87"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серебряная монета номиналом 2 рубля «Одуванчик белоязычковый» серии «Красная книга»;</w:t>
      </w:r>
    </w:p>
    <w:p w14:paraId="2057BC0F"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серебряная монета номиналом 2 рубля «Сетконоска сдвоенная» серии «Красная книга»;</w:t>
      </w:r>
    </w:p>
    <w:p w14:paraId="60D63EC6"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серебряная монета номиналом 2 рубля «Фиалка надрезанная» серии «Красная книга»;</w:t>
      </w:r>
    </w:p>
    <w:p w14:paraId="16331C08"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серебряная монета номиналом 3 рубля «Свято-Троицкий Холковский монастырь, Белгородская область» серии «Памятники архитектуры России»;</w:t>
      </w:r>
    </w:p>
    <w:p w14:paraId="41C71A2D"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серебряная монета номиналом 25 рублей «Музей-заповедник «Остров-град Свияжск», Республика Татарстан» серии «Памятники архитектуры России»;</w:t>
      </w:r>
    </w:p>
    <w:p w14:paraId="0E43FDD4"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серебряная монета номиналом 3 рубля «Конек-Горбунок» серии «Легенды и сказки народов России»;</w:t>
      </w:r>
    </w:p>
    <w:p w14:paraId="616D5A72"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 xml:space="preserve">серебряная монета номиналом 3 рубля «Нагрудный знак с портретом Петра </w:t>
      </w:r>
      <w:r w:rsidRPr="00B068BF">
        <w:rPr>
          <w:rFonts w:ascii="Times New Roman" w:hAnsi="Times New Roman" w:cs="Times New Roman"/>
          <w:sz w:val="24"/>
          <w:szCs w:val="24"/>
        </w:rPr>
        <w:t>I</w:t>
      </w:r>
      <w:r w:rsidRPr="00B068BF">
        <w:rPr>
          <w:rFonts w:ascii="Times New Roman" w:hAnsi="Times New Roman" w:cs="Times New Roman"/>
          <w:sz w:val="24"/>
          <w:szCs w:val="24"/>
          <w:lang w:val="ru-RU"/>
        </w:rPr>
        <w:t>» серии «Алмазный фонд России»;</w:t>
      </w:r>
    </w:p>
    <w:p w14:paraId="3B33BC9A"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 xml:space="preserve">серебряная монета номиналом 25 рублей «Нагрудный знак с портретом Петра </w:t>
      </w:r>
      <w:r w:rsidRPr="00B068BF">
        <w:rPr>
          <w:rFonts w:ascii="Times New Roman" w:hAnsi="Times New Roman" w:cs="Times New Roman"/>
          <w:sz w:val="24"/>
          <w:szCs w:val="24"/>
        </w:rPr>
        <w:t>I</w:t>
      </w:r>
      <w:r w:rsidRPr="00B068BF">
        <w:rPr>
          <w:rFonts w:ascii="Times New Roman" w:hAnsi="Times New Roman" w:cs="Times New Roman"/>
          <w:sz w:val="24"/>
          <w:szCs w:val="24"/>
          <w:lang w:val="ru-RU"/>
        </w:rPr>
        <w:t>» серии «Алмазный фонд России»;</w:t>
      </w:r>
    </w:p>
    <w:p w14:paraId="4AD73D15"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 xml:space="preserve">серебряная монета номиналом 25 рублей «Нагрудный знак с портретом Петра </w:t>
      </w:r>
      <w:r w:rsidRPr="00B068BF">
        <w:rPr>
          <w:rFonts w:ascii="Times New Roman" w:hAnsi="Times New Roman" w:cs="Times New Roman"/>
          <w:sz w:val="24"/>
          <w:szCs w:val="24"/>
        </w:rPr>
        <w:t>I</w:t>
      </w:r>
      <w:r w:rsidRPr="00B068BF">
        <w:rPr>
          <w:rFonts w:ascii="Times New Roman" w:hAnsi="Times New Roman" w:cs="Times New Roman"/>
          <w:sz w:val="24"/>
          <w:szCs w:val="24"/>
          <w:lang w:val="ru-RU"/>
        </w:rPr>
        <w:t>» серии «Алмазный фонд России»;</w:t>
      </w:r>
    </w:p>
    <w:p w14:paraId="3E4F2000"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серебряная монета номиналом 3 рубля «Луноход» серии «Космос»,</w:t>
      </w:r>
    </w:p>
    <w:p w14:paraId="7C8B83E0"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серебряная монета номиналом 3 рубля «Первый групповой космический полет» серии «Космос»;</w:t>
      </w:r>
    </w:p>
    <w:p w14:paraId="0F4F2D73"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серебряная монета номиналом 3 рубля «300-летие основания г. Нижнего Тагила» серии «Города»;</w:t>
      </w:r>
    </w:p>
    <w:p w14:paraId="6B8F5F07"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серебряная монета номиналом 3 рубля «1100-летие крещения Алании» серии «Исторические события»;</w:t>
      </w:r>
    </w:p>
    <w:p w14:paraId="763D8FF8"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серебряная монета номиналом 3 рубля «450-летие битвы при Молодях» серии «Исторические события»;</w:t>
      </w:r>
    </w:p>
    <w:p w14:paraId="32C903D2"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серебряная монета номиналом 3 рубля «300-летие Российской прокуратуры» серии «Исторические события»;</w:t>
      </w:r>
    </w:p>
    <w:p w14:paraId="64A46A53"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 xml:space="preserve">серебряная монета номиналом 3 рубля «350-летие со дня рождения Петра </w:t>
      </w:r>
      <w:r w:rsidRPr="00B068BF">
        <w:rPr>
          <w:rFonts w:ascii="Times New Roman" w:hAnsi="Times New Roman" w:cs="Times New Roman"/>
          <w:sz w:val="24"/>
          <w:szCs w:val="24"/>
        </w:rPr>
        <w:t>I</w:t>
      </w:r>
      <w:r w:rsidRPr="00B068BF">
        <w:rPr>
          <w:rFonts w:ascii="Times New Roman" w:hAnsi="Times New Roman" w:cs="Times New Roman"/>
          <w:sz w:val="24"/>
          <w:szCs w:val="24"/>
          <w:lang w:val="ru-RU"/>
        </w:rPr>
        <w:t>» серии «Исторические события»;</w:t>
      </w:r>
    </w:p>
    <w:p w14:paraId="128FE698"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 xml:space="preserve">серебряная монета номиналом 100 рублей «350-летие со дня рождения Петра </w:t>
      </w:r>
      <w:r w:rsidRPr="00B068BF">
        <w:rPr>
          <w:rFonts w:ascii="Times New Roman" w:hAnsi="Times New Roman" w:cs="Times New Roman"/>
          <w:sz w:val="24"/>
          <w:szCs w:val="24"/>
        </w:rPr>
        <w:t>I</w:t>
      </w:r>
      <w:r w:rsidRPr="00B068BF">
        <w:rPr>
          <w:rFonts w:ascii="Times New Roman" w:hAnsi="Times New Roman" w:cs="Times New Roman"/>
          <w:sz w:val="24"/>
          <w:szCs w:val="24"/>
          <w:lang w:val="ru-RU"/>
        </w:rPr>
        <w:t>» серии «Исторические события»;</w:t>
      </w:r>
    </w:p>
    <w:p w14:paraId="358E1309"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 xml:space="preserve">золотая монета номиналом 10 000 рублей «350-летие со дня рождения Петра </w:t>
      </w:r>
      <w:r w:rsidRPr="00B068BF">
        <w:rPr>
          <w:rFonts w:ascii="Times New Roman" w:hAnsi="Times New Roman" w:cs="Times New Roman"/>
          <w:sz w:val="24"/>
          <w:szCs w:val="24"/>
        </w:rPr>
        <w:t>I</w:t>
      </w:r>
      <w:r w:rsidRPr="00B068BF">
        <w:rPr>
          <w:rFonts w:ascii="Times New Roman" w:hAnsi="Times New Roman" w:cs="Times New Roman"/>
          <w:sz w:val="24"/>
          <w:szCs w:val="24"/>
          <w:lang w:val="ru-RU"/>
        </w:rPr>
        <w:t>» серии «Исторические события»;</w:t>
      </w:r>
    </w:p>
    <w:p w14:paraId="267D147E"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серебряная монета номиналом 3 рубля «Орден «Победа» серии «Победа советского народа в Великой Отечественной войне 1941-1945 гг.»;</w:t>
      </w:r>
    </w:p>
    <w:p w14:paraId="2787DF8C"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серебряная монета номиналом 2 рубля «Зоя Космодемьянская» серии «Герои Великой Отечественной войны 1941–1945 гг.»;</w:t>
      </w:r>
    </w:p>
    <w:p w14:paraId="2297B310"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серебряная монета номиналом 2 рубля «И.Н. Кожедуб» серии «Герои Великой Отечественной войны 1941–1945 гг.»;</w:t>
      </w:r>
    </w:p>
    <w:p w14:paraId="30BD1EF1"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серебряная монета номиналом 2 рубля «Амет-Хан Султан» серии «Герои Великой Отечественной войны 1941–1945 гг.»;</w:t>
      </w:r>
    </w:p>
    <w:p w14:paraId="6258CAE1"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lastRenderedPageBreak/>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серебряная монета номиналом 3 рубля «Веселая карусель № 1» серии «Российская (советская) мультипликация»;</w:t>
      </w:r>
    </w:p>
    <w:p w14:paraId="036C16F3"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монета из медно-никелевого сплава номиналом 25 рублей «Веселая карусель № 1» серии «Российская (советская) мультипликация»;</w:t>
      </w:r>
    </w:p>
    <w:p w14:paraId="64B90965"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монета из медно-никелевого сплава номиналом 25 рублей «Веселая карусель № 1» серии «Российская (советская) мультипликация»;</w:t>
      </w:r>
    </w:p>
    <w:p w14:paraId="29AA4C79"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серебряная монета номиналом 3 рубля «Иван Царевич и Серый Волк» серии «Российская (советская) мультипликация»;</w:t>
      </w:r>
    </w:p>
    <w:p w14:paraId="05447D33"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монета из медно-никелевого сплава номиналом 25 рублей «Иван Царевич и Серый Волк» серии «Российская (советская) мультипликация»;</w:t>
      </w:r>
    </w:p>
    <w:p w14:paraId="2F83CCB1"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монета из медно-никелевого сплава номиналом 25 рублей «Иван Царевич и Серый Волк» серии «Российская (советская) мультипликация»;</w:t>
      </w:r>
    </w:p>
    <w:p w14:paraId="6E5080DC"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монета из стали с гальваническим покрытием номиналом 10 рублей «Ижевск» серии «Города трудовой доблести»;</w:t>
      </w:r>
    </w:p>
    <w:p w14:paraId="216C5A9B"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монета из стали с гальваническим покрытием номиналом 10 рублей «Иркутск» серии «Города трудовой доблести»;</w:t>
      </w:r>
    </w:p>
    <w:p w14:paraId="54DCA853"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монета из стали с гальваническим покрытием номиналом 10 рублей «Казань» серии «Города трудовой доблести»;</w:t>
      </w:r>
    </w:p>
    <w:p w14:paraId="303264F3"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монета из стали с гальваническим покрытием номиналом 10 рублей «Магнитогорск» серии «Города трудовой доблести»;</w:t>
      </w:r>
    </w:p>
    <w:p w14:paraId="18578E3B"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монета из стали с гальваническим покрытием номиналом 10 рублей «Работник добывающей промышленности» серии «Человек труда»;</w:t>
      </w:r>
    </w:p>
    <w:p w14:paraId="71F819A3"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монета из стали с гальваническим покрытием номиналом 10 рублей «г. Городец, Нижегородская область» серии «Древние города России»;</w:t>
      </w:r>
    </w:p>
    <w:p w14:paraId="55FC88DC"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монета из стали с гальваническим покрытием номиналом 10 рублей «г. Рыльск, Курская область» серии «Древние города России»;</w:t>
      </w:r>
    </w:p>
    <w:p w14:paraId="541B497F" w14:textId="77777777" w:rsidR="00227605" w:rsidRPr="00B068BF" w:rsidRDefault="00227605" w:rsidP="00227605">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монета из стали с гальваническим покрытием номиналом 10 рублей «Ивановская область» серии «Российская Федерация».</w:t>
      </w:r>
    </w:p>
    <w:p w14:paraId="35DF645B" w14:textId="77777777" w:rsidR="00227605" w:rsidRPr="00B068BF" w:rsidRDefault="00227605" w:rsidP="002750B6">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Информация о всех выпущенных в обращение памятных и инвестиционных монетах Банка России размещается в разделе «База данных по памятным и инвестиционным монетам» сайта Банка России (</w:t>
      </w:r>
      <w:hyperlink r:id="rId14" w:history="1">
        <w:r w:rsidR="002750B6" w:rsidRPr="00B068BF">
          <w:rPr>
            <w:rStyle w:val="ac"/>
            <w:rFonts w:ascii="Times New Roman" w:hAnsi="Times New Roman" w:cs="Times New Roman"/>
            <w:sz w:val="24"/>
            <w:szCs w:val="24"/>
          </w:rPr>
          <w:t>http</w:t>
        </w:r>
        <w:r w:rsidR="002750B6" w:rsidRPr="00B068BF">
          <w:rPr>
            <w:rStyle w:val="ac"/>
            <w:rFonts w:ascii="Times New Roman" w:hAnsi="Times New Roman" w:cs="Times New Roman"/>
            <w:sz w:val="24"/>
            <w:szCs w:val="24"/>
            <w:lang w:val="ru-RU"/>
          </w:rPr>
          <w:t>://</w:t>
        </w:r>
        <w:r w:rsidR="002750B6" w:rsidRPr="00B068BF">
          <w:rPr>
            <w:rStyle w:val="ac"/>
            <w:rFonts w:ascii="Times New Roman" w:hAnsi="Times New Roman" w:cs="Times New Roman"/>
            <w:sz w:val="24"/>
            <w:szCs w:val="24"/>
          </w:rPr>
          <w:t>cbr</w:t>
        </w:r>
        <w:r w:rsidR="002750B6" w:rsidRPr="00B068BF">
          <w:rPr>
            <w:rStyle w:val="ac"/>
            <w:rFonts w:ascii="Times New Roman" w:hAnsi="Times New Roman" w:cs="Times New Roman"/>
            <w:sz w:val="24"/>
            <w:szCs w:val="24"/>
            <w:lang w:val="ru-RU"/>
          </w:rPr>
          <w:t>.</w:t>
        </w:r>
        <w:r w:rsidR="002750B6" w:rsidRPr="00B068BF">
          <w:rPr>
            <w:rStyle w:val="ac"/>
            <w:rFonts w:ascii="Times New Roman" w:hAnsi="Times New Roman" w:cs="Times New Roman"/>
            <w:sz w:val="24"/>
            <w:szCs w:val="24"/>
          </w:rPr>
          <w:t>ru</w:t>
        </w:r>
        <w:r w:rsidR="002750B6" w:rsidRPr="00B068BF">
          <w:rPr>
            <w:rStyle w:val="ac"/>
            <w:rFonts w:ascii="Times New Roman" w:hAnsi="Times New Roman" w:cs="Times New Roman"/>
            <w:sz w:val="24"/>
            <w:szCs w:val="24"/>
            <w:lang w:val="ru-RU"/>
          </w:rPr>
          <w:t>/</w:t>
        </w:r>
        <w:r w:rsidR="002750B6" w:rsidRPr="00B068BF">
          <w:rPr>
            <w:rStyle w:val="ac"/>
            <w:rFonts w:ascii="Times New Roman" w:hAnsi="Times New Roman" w:cs="Times New Roman"/>
            <w:sz w:val="24"/>
            <w:szCs w:val="24"/>
          </w:rPr>
          <w:t>cash</w:t>
        </w:r>
        <w:r w:rsidR="002750B6" w:rsidRPr="00B068BF">
          <w:rPr>
            <w:rStyle w:val="ac"/>
            <w:rFonts w:ascii="Times New Roman" w:hAnsi="Times New Roman" w:cs="Times New Roman"/>
            <w:sz w:val="24"/>
            <w:szCs w:val="24"/>
            <w:lang w:val="ru-RU"/>
          </w:rPr>
          <w:t>_</w:t>
        </w:r>
        <w:r w:rsidR="002750B6" w:rsidRPr="00B068BF">
          <w:rPr>
            <w:rStyle w:val="ac"/>
            <w:rFonts w:ascii="Times New Roman" w:hAnsi="Times New Roman" w:cs="Times New Roman"/>
            <w:sz w:val="24"/>
            <w:szCs w:val="24"/>
          </w:rPr>
          <w:t>circulation</w:t>
        </w:r>
        <w:r w:rsidR="002750B6" w:rsidRPr="00B068BF">
          <w:rPr>
            <w:rStyle w:val="ac"/>
            <w:rFonts w:ascii="Times New Roman" w:hAnsi="Times New Roman" w:cs="Times New Roman"/>
            <w:sz w:val="24"/>
            <w:szCs w:val="24"/>
            <w:lang w:val="ru-RU"/>
          </w:rPr>
          <w:t>/</w:t>
        </w:r>
        <w:r w:rsidR="002750B6" w:rsidRPr="00B068BF">
          <w:rPr>
            <w:rStyle w:val="ac"/>
            <w:rFonts w:ascii="Times New Roman" w:hAnsi="Times New Roman" w:cs="Times New Roman"/>
            <w:sz w:val="24"/>
            <w:szCs w:val="24"/>
          </w:rPr>
          <w:t>memorable</w:t>
        </w:r>
        <w:r w:rsidR="002750B6" w:rsidRPr="00B068BF">
          <w:rPr>
            <w:rStyle w:val="ac"/>
            <w:rFonts w:ascii="Times New Roman" w:hAnsi="Times New Roman" w:cs="Times New Roman"/>
            <w:sz w:val="24"/>
            <w:szCs w:val="24"/>
            <w:lang w:val="ru-RU"/>
          </w:rPr>
          <w:t>_</w:t>
        </w:r>
        <w:r w:rsidR="002750B6" w:rsidRPr="00B068BF">
          <w:rPr>
            <w:rStyle w:val="ac"/>
            <w:rFonts w:ascii="Times New Roman" w:hAnsi="Times New Roman" w:cs="Times New Roman"/>
            <w:sz w:val="24"/>
            <w:szCs w:val="24"/>
          </w:rPr>
          <w:t>coins</w:t>
        </w:r>
        <w:r w:rsidR="002750B6" w:rsidRPr="00B068BF">
          <w:rPr>
            <w:rStyle w:val="ac"/>
            <w:rFonts w:ascii="Times New Roman" w:hAnsi="Times New Roman" w:cs="Times New Roman"/>
            <w:sz w:val="24"/>
            <w:szCs w:val="24"/>
            <w:lang w:val="ru-RU"/>
          </w:rPr>
          <w:t>/</w:t>
        </w:r>
        <w:r w:rsidR="002750B6" w:rsidRPr="00B068BF">
          <w:rPr>
            <w:rStyle w:val="ac"/>
            <w:rFonts w:ascii="Times New Roman" w:hAnsi="Times New Roman" w:cs="Times New Roman"/>
            <w:sz w:val="24"/>
            <w:szCs w:val="24"/>
          </w:rPr>
          <w:t>coins</w:t>
        </w:r>
        <w:r w:rsidR="002750B6" w:rsidRPr="00B068BF">
          <w:rPr>
            <w:rStyle w:val="ac"/>
            <w:rFonts w:ascii="Times New Roman" w:hAnsi="Times New Roman" w:cs="Times New Roman"/>
            <w:sz w:val="24"/>
            <w:szCs w:val="24"/>
            <w:lang w:val="ru-RU"/>
          </w:rPr>
          <w:t>_</w:t>
        </w:r>
        <w:r w:rsidR="002750B6" w:rsidRPr="00B068BF">
          <w:rPr>
            <w:rStyle w:val="ac"/>
            <w:rFonts w:ascii="Times New Roman" w:hAnsi="Times New Roman" w:cs="Times New Roman"/>
            <w:sz w:val="24"/>
            <w:szCs w:val="24"/>
          </w:rPr>
          <w:t>base</w:t>
        </w:r>
      </w:hyperlink>
      <w:r w:rsidRPr="00B068BF">
        <w:rPr>
          <w:rFonts w:ascii="Times New Roman" w:hAnsi="Times New Roman" w:cs="Times New Roman"/>
          <w:sz w:val="24"/>
          <w:szCs w:val="24"/>
          <w:lang w:val="ru-RU"/>
        </w:rPr>
        <w:t>)</w:t>
      </w:r>
      <w:r w:rsidR="002750B6" w:rsidRPr="00B068BF">
        <w:rPr>
          <w:rFonts w:ascii="Times New Roman" w:hAnsi="Times New Roman" w:cs="Times New Roman"/>
          <w:sz w:val="24"/>
          <w:szCs w:val="24"/>
          <w:lang w:val="ru-RU"/>
        </w:rPr>
        <w:t xml:space="preserve"> </w:t>
      </w:r>
      <w:r w:rsidRPr="00B068BF">
        <w:rPr>
          <w:rFonts w:ascii="Times New Roman" w:hAnsi="Times New Roman" w:cs="Times New Roman"/>
          <w:sz w:val="24"/>
          <w:szCs w:val="24"/>
          <w:lang w:val="ru-RU"/>
        </w:rPr>
        <w:t>на регулярной основе по мере выпуска монет в обращение.</w:t>
      </w:r>
    </w:p>
    <w:p w14:paraId="5619BB04" w14:textId="77777777" w:rsidR="003C6ADB" w:rsidRPr="00B068BF" w:rsidRDefault="003C6ADB" w:rsidP="002750B6">
      <w:pPr>
        <w:spacing w:after="0" w:line="240" w:lineRule="auto"/>
        <w:jc w:val="both"/>
        <w:rPr>
          <w:rFonts w:ascii="Times New Roman" w:hAnsi="Times New Roman" w:cs="Times New Roman"/>
          <w:sz w:val="24"/>
          <w:szCs w:val="24"/>
          <w:lang w:val="ru-RU"/>
        </w:rPr>
      </w:pPr>
    </w:p>
    <w:p w14:paraId="34287EFE" w14:textId="77777777" w:rsidR="00D6401B" w:rsidRPr="00B068BF" w:rsidRDefault="00D6401B" w:rsidP="00D6401B">
      <w:pPr>
        <w:pStyle w:val="a3"/>
        <w:numPr>
          <w:ilvl w:val="0"/>
          <w:numId w:val="3"/>
        </w:numPr>
        <w:tabs>
          <w:tab w:val="left" w:pos="851"/>
        </w:tabs>
        <w:spacing w:after="0" w:line="240" w:lineRule="auto"/>
        <w:jc w:val="both"/>
        <w:rPr>
          <w:rFonts w:ascii="Times New Roman" w:hAnsi="Times New Roman" w:cs="Times New Roman"/>
          <w:b/>
          <w:sz w:val="24"/>
          <w:szCs w:val="24"/>
          <w:lang w:val="ru-RU"/>
        </w:rPr>
      </w:pPr>
      <w:r w:rsidRPr="00B068BF">
        <w:rPr>
          <w:rFonts w:ascii="Times New Roman" w:hAnsi="Times New Roman" w:cs="Times New Roman"/>
          <w:b/>
          <w:sz w:val="24"/>
          <w:szCs w:val="24"/>
          <w:lang w:val="ru-RU"/>
        </w:rPr>
        <w:t>Национальный банк Таджик</w:t>
      </w:r>
      <w:r w:rsidR="00534D39" w:rsidRPr="00B068BF">
        <w:rPr>
          <w:rFonts w:ascii="Times New Roman" w:hAnsi="Times New Roman" w:cs="Times New Roman"/>
          <w:b/>
          <w:sz w:val="24"/>
          <w:szCs w:val="24"/>
          <w:lang w:val="ru-RU"/>
        </w:rPr>
        <w:t>истана</w:t>
      </w:r>
    </w:p>
    <w:p w14:paraId="109C9764" w14:textId="77777777" w:rsidR="005573B4" w:rsidRPr="00B068BF" w:rsidRDefault="005573B4" w:rsidP="00430914">
      <w:pPr>
        <w:spacing w:after="0" w:line="240" w:lineRule="auto"/>
        <w:ind w:firstLine="36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 xml:space="preserve">Национальным банком Таджикистана в 2022 году был выпущен ряд банкнот эмиссии 2022 года, состоящий из 6 номиналов. </w:t>
      </w:r>
      <w:r w:rsidR="00E15D31" w:rsidRPr="00B068BF">
        <w:rPr>
          <w:rFonts w:ascii="Times New Roman" w:hAnsi="Times New Roman" w:cs="Times New Roman"/>
          <w:sz w:val="24"/>
          <w:szCs w:val="24"/>
          <w:lang w:val="ru-RU"/>
        </w:rPr>
        <w:t>В</w:t>
      </w:r>
      <w:r w:rsidRPr="00B068BF">
        <w:rPr>
          <w:rFonts w:ascii="Times New Roman" w:hAnsi="Times New Roman" w:cs="Times New Roman"/>
          <w:sz w:val="24"/>
          <w:szCs w:val="24"/>
          <w:lang w:val="ru-RU"/>
        </w:rPr>
        <w:t xml:space="preserve"> банкнотах достоинством 10, 20, 50, 200 и 500 сомони</w:t>
      </w:r>
      <w:r w:rsidR="00C21358" w:rsidRPr="00B068BF">
        <w:rPr>
          <w:rFonts w:ascii="Times New Roman" w:hAnsi="Times New Roman" w:cs="Times New Roman"/>
          <w:sz w:val="24"/>
          <w:szCs w:val="24"/>
          <w:lang w:val="ru-RU"/>
        </w:rPr>
        <w:t>,</w:t>
      </w:r>
      <w:r w:rsidRPr="00B068BF">
        <w:rPr>
          <w:rFonts w:ascii="Times New Roman" w:hAnsi="Times New Roman" w:cs="Times New Roman"/>
          <w:sz w:val="24"/>
          <w:szCs w:val="24"/>
          <w:lang w:val="ru-RU"/>
        </w:rPr>
        <w:t xml:space="preserve"> кроме года выпуска</w:t>
      </w:r>
      <w:r w:rsidR="00C21358" w:rsidRPr="00B068BF">
        <w:rPr>
          <w:rFonts w:ascii="Times New Roman" w:hAnsi="Times New Roman" w:cs="Times New Roman"/>
          <w:sz w:val="24"/>
          <w:szCs w:val="24"/>
          <w:lang w:val="ru-RU"/>
        </w:rPr>
        <w:t>,</w:t>
      </w:r>
      <w:r w:rsidRPr="00B068BF">
        <w:rPr>
          <w:rFonts w:ascii="Times New Roman" w:hAnsi="Times New Roman" w:cs="Times New Roman"/>
          <w:sz w:val="24"/>
          <w:szCs w:val="24"/>
          <w:lang w:val="ru-RU"/>
        </w:rPr>
        <w:t xml:space="preserve"> </w:t>
      </w:r>
      <w:r w:rsidR="00C21358" w:rsidRPr="00B068BF">
        <w:rPr>
          <w:rFonts w:ascii="Times New Roman" w:hAnsi="Times New Roman" w:cs="Times New Roman"/>
          <w:sz w:val="24"/>
          <w:szCs w:val="24"/>
          <w:lang w:val="ru-RU"/>
        </w:rPr>
        <w:t xml:space="preserve">других </w:t>
      </w:r>
      <w:r w:rsidRPr="00B068BF">
        <w:rPr>
          <w:rFonts w:ascii="Times New Roman" w:hAnsi="Times New Roman" w:cs="Times New Roman"/>
          <w:sz w:val="24"/>
          <w:szCs w:val="24"/>
          <w:lang w:val="ru-RU"/>
        </w:rPr>
        <w:t xml:space="preserve">изменений не внесено. </w:t>
      </w:r>
    </w:p>
    <w:p w14:paraId="626884E2" w14:textId="77777777" w:rsidR="005573B4" w:rsidRPr="00B068BF" w:rsidRDefault="005573B4" w:rsidP="005573B4">
      <w:pPr>
        <w:spacing w:after="0" w:line="240" w:lineRule="auto"/>
        <w:jc w:val="both"/>
        <w:rPr>
          <w:rFonts w:ascii="Times New Roman" w:hAnsi="Times New Roman" w:cs="Times New Roman"/>
          <w:sz w:val="24"/>
          <w:szCs w:val="24"/>
          <w:lang w:val="ru-RU"/>
        </w:rPr>
      </w:pPr>
    </w:p>
    <w:p w14:paraId="5EBEBCB9" w14:textId="77777777" w:rsidR="005573B4" w:rsidRPr="00B068BF" w:rsidRDefault="005573B4" w:rsidP="00B068BF">
      <w:pPr>
        <w:tabs>
          <w:tab w:val="left" w:pos="851"/>
        </w:tabs>
        <w:spacing w:after="0" w:line="240" w:lineRule="auto"/>
        <w:jc w:val="center"/>
        <w:rPr>
          <w:rFonts w:ascii="Times New Roman" w:hAnsi="Times New Roman" w:cs="Times New Roman"/>
          <w:b/>
          <w:lang w:val="ru-RU"/>
        </w:rPr>
      </w:pPr>
      <w:r w:rsidRPr="00B068BF">
        <w:rPr>
          <w:rFonts w:ascii="Times New Roman" w:hAnsi="Times New Roman" w:cs="Times New Roman"/>
          <w:noProof/>
          <w:lang w:val="ru-RU" w:eastAsia="ru-RU"/>
        </w:rPr>
        <w:drawing>
          <wp:inline distT="0" distB="0" distL="0" distR="0" wp14:anchorId="2B004903" wp14:editId="44FDBED2">
            <wp:extent cx="2352675" cy="1058728"/>
            <wp:effectExtent l="95250" t="76200" r="66675" b="65405"/>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pic:cNvPicPr>
                  </pic:nvPicPr>
                  <pic:blipFill rotWithShape="1">
                    <a:blip r:embed="rId15" cstate="print">
                      <a:extLst>
                        <a:ext uri="{28A0092B-C50C-407E-A947-70E740481C1C}">
                          <a14:useLocalDpi xmlns:a14="http://schemas.microsoft.com/office/drawing/2010/main" val="0"/>
                        </a:ext>
                      </a:extLst>
                    </a:blip>
                    <a:srcRect/>
                    <a:stretch/>
                  </pic:blipFill>
                  <pic:spPr>
                    <a:xfrm>
                      <a:off x="0" y="0"/>
                      <a:ext cx="2358327" cy="1061271"/>
                    </a:xfrm>
                    <a:prstGeom prst="rect">
                      <a:avLst/>
                    </a:prstGeom>
                    <a:effectLst>
                      <a:outerShdw blurRad="63500" sx="102000" sy="102000" algn="ctr" rotWithShape="0">
                        <a:prstClr val="black">
                          <a:alpha val="40000"/>
                        </a:prstClr>
                      </a:outerShdw>
                    </a:effectLst>
                  </pic:spPr>
                </pic:pic>
              </a:graphicData>
            </a:graphic>
          </wp:inline>
        </w:drawing>
      </w:r>
      <w:r w:rsidRPr="00B068BF">
        <w:rPr>
          <w:rFonts w:ascii="Times New Roman" w:hAnsi="Times New Roman" w:cs="Times New Roman"/>
          <w:noProof/>
          <w:lang w:val="ru-RU" w:eastAsia="ru-RU"/>
        </w:rPr>
        <w:drawing>
          <wp:inline distT="0" distB="0" distL="0" distR="0" wp14:anchorId="558E6A1C" wp14:editId="53899C9F">
            <wp:extent cx="2417862" cy="1045210"/>
            <wp:effectExtent l="95250" t="76200" r="78105" b="59690"/>
            <wp:docPr id="5" name="Рисунок 17" descr="C:\Documents and Settings\N_Asrorov.NBT\Рабочий стол\Пул-tanga-2021\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Documents and Settings\N_Asrorov.NBT\Рабочий стол\Пул-tanga-2021\10-2.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32587" cy="1051575"/>
                    </a:xfrm>
                    <a:prstGeom prst="rect">
                      <a:avLst/>
                    </a:prstGeom>
                    <a:noFill/>
                    <a:ln w="9525">
                      <a:noFill/>
                      <a:miter lim="800000"/>
                      <a:headEnd/>
                      <a:tailEnd/>
                    </a:ln>
                    <a:effectLst>
                      <a:outerShdw blurRad="63500" sx="102000" sy="102000" algn="ctr" rotWithShape="0">
                        <a:prstClr val="black">
                          <a:alpha val="40000"/>
                        </a:prstClr>
                      </a:outerShdw>
                    </a:effectLst>
                  </pic:spPr>
                </pic:pic>
              </a:graphicData>
            </a:graphic>
          </wp:inline>
        </w:drawing>
      </w:r>
    </w:p>
    <w:p w14:paraId="565AF141" w14:textId="77777777" w:rsidR="005573B4" w:rsidRPr="00B068BF" w:rsidRDefault="005573B4" w:rsidP="00B068BF">
      <w:pPr>
        <w:tabs>
          <w:tab w:val="left" w:pos="851"/>
        </w:tabs>
        <w:spacing w:after="0" w:line="240" w:lineRule="auto"/>
        <w:jc w:val="center"/>
        <w:rPr>
          <w:rFonts w:ascii="Times New Roman" w:hAnsi="Times New Roman" w:cs="Times New Roman"/>
          <w:b/>
          <w:lang w:val="ru-RU"/>
        </w:rPr>
      </w:pPr>
      <w:r w:rsidRPr="00B068BF">
        <w:rPr>
          <w:rFonts w:ascii="Times New Roman" w:hAnsi="Times New Roman" w:cs="Times New Roman"/>
          <w:noProof/>
          <w:lang w:val="ru-RU" w:eastAsia="ru-RU"/>
        </w:rPr>
        <w:drawing>
          <wp:inline distT="0" distB="0" distL="0" distR="0" wp14:anchorId="614A618B" wp14:editId="7D8CECE8">
            <wp:extent cx="2390635" cy="1039257"/>
            <wp:effectExtent l="95250" t="76200" r="67310" b="66040"/>
            <wp:docPr id="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rotWithShape="1">
                    <a:blip r:embed="rId17" cstate="print">
                      <a:extLst>
                        <a:ext uri="{BEBA8EAE-BF5A-486C-A8C5-ECC9F3942E4B}">
                          <a14:imgProps xmlns:a14="http://schemas.microsoft.com/office/drawing/2010/main">
                            <a14:imgLayer r:embed="rId18">
                              <a14:imgEffect>
                                <a14:sharpenSoften amount="30000"/>
                              </a14:imgEffect>
                              <a14:imgEffect>
                                <a14:colorTemperature colorTemp="7200"/>
                              </a14:imgEffect>
                              <a14:imgEffect>
                                <a14:brightnessContrast bright="5000" contrast="5000"/>
                              </a14:imgEffect>
                            </a14:imgLayer>
                          </a14:imgProps>
                        </a:ext>
                        <a:ext uri="{28A0092B-C50C-407E-A947-70E740481C1C}">
                          <a14:useLocalDpi xmlns:a14="http://schemas.microsoft.com/office/drawing/2010/main" val="0"/>
                        </a:ext>
                      </a:extLst>
                    </a:blip>
                    <a:srcRect/>
                    <a:stretch/>
                  </pic:blipFill>
                  <pic:spPr>
                    <a:xfrm>
                      <a:off x="0" y="0"/>
                      <a:ext cx="2397486" cy="1042235"/>
                    </a:xfrm>
                    <a:prstGeom prst="rect">
                      <a:avLst/>
                    </a:prstGeom>
                    <a:effectLst>
                      <a:outerShdw blurRad="63500" sx="102000" sy="102000" algn="ctr" rotWithShape="0">
                        <a:prstClr val="black">
                          <a:alpha val="40000"/>
                        </a:prstClr>
                      </a:outerShdw>
                    </a:effectLst>
                  </pic:spPr>
                </pic:pic>
              </a:graphicData>
            </a:graphic>
          </wp:inline>
        </w:drawing>
      </w:r>
      <w:r w:rsidRPr="00B068BF">
        <w:rPr>
          <w:rFonts w:ascii="Times New Roman" w:hAnsi="Times New Roman" w:cs="Times New Roman"/>
          <w:noProof/>
          <w:lang w:val="ru-RU" w:eastAsia="ru-RU"/>
        </w:rPr>
        <w:drawing>
          <wp:inline distT="0" distB="0" distL="0" distR="0" wp14:anchorId="22697133" wp14:editId="4228812D">
            <wp:extent cx="2505075" cy="1033145"/>
            <wp:effectExtent l="95250" t="76200" r="85725" b="52705"/>
            <wp:docPr id="17" name="Рисунок 18" descr="C:\Documents and Settings\N_Asrorov.NBT\Рабочий стол\Пул-tanga-2021\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Documents and Settings\N_Asrorov.NBT\Рабочий стол\Пул-tanga-2021\20-2.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44535" cy="1049419"/>
                    </a:xfrm>
                    <a:prstGeom prst="rect">
                      <a:avLst/>
                    </a:prstGeom>
                    <a:noFill/>
                    <a:ln w="9525">
                      <a:noFill/>
                      <a:miter lim="800000"/>
                      <a:headEnd/>
                      <a:tailEnd/>
                    </a:ln>
                    <a:effectLst>
                      <a:outerShdw blurRad="63500" sx="102000" sy="102000" algn="ctr" rotWithShape="0">
                        <a:prstClr val="black">
                          <a:alpha val="40000"/>
                        </a:prstClr>
                      </a:outerShdw>
                    </a:effectLst>
                  </pic:spPr>
                </pic:pic>
              </a:graphicData>
            </a:graphic>
          </wp:inline>
        </w:drawing>
      </w:r>
    </w:p>
    <w:p w14:paraId="79E6219A" w14:textId="77777777" w:rsidR="005573B4" w:rsidRPr="00B068BF" w:rsidRDefault="005573B4" w:rsidP="00B068BF">
      <w:pPr>
        <w:tabs>
          <w:tab w:val="left" w:pos="851"/>
        </w:tabs>
        <w:spacing w:after="0" w:line="240" w:lineRule="auto"/>
        <w:jc w:val="center"/>
        <w:rPr>
          <w:rFonts w:ascii="Times New Roman" w:hAnsi="Times New Roman" w:cs="Times New Roman"/>
          <w:b/>
          <w:lang w:val="ru-RU"/>
        </w:rPr>
      </w:pPr>
      <w:r w:rsidRPr="00B068BF">
        <w:rPr>
          <w:rFonts w:ascii="Times New Roman" w:hAnsi="Times New Roman" w:cs="Times New Roman"/>
          <w:noProof/>
          <w:lang w:val="ru-RU" w:eastAsia="ru-RU"/>
        </w:rPr>
        <w:lastRenderedPageBreak/>
        <w:drawing>
          <wp:inline distT="0" distB="0" distL="0" distR="0" wp14:anchorId="26F07869" wp14:editId="72481E8C">
            <wp:extent cx="2409825" cy="1048806"/>
            <wp:effectExtent l="95250" t="76200" r="66675" b="56515"/>
            <wp:docPr id="1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pic:cNvPicPr>
                  </pic:nvPicPr>
                  <pic:blipFill rotWithShape="1">
                    <a:blip r:embed="rId20" cstate="print">
                      <a:extLst>
                        <a:ext uri="{BEBA8EAE-BF5A-486C-A8C5-ECC9F3942E4B}">
                          <a14:imgProps xmlns:a14="http://schemas.microsoft.com/office/drawing/2010/main">
                            <a14:imgLayer r:embed="rId21">
                              <a14:imgEffect>
                                <a14:sharpenSoften amount="30000"/>
                              </a14:imgEffect>
                              <a14:imgEffect>
                                <a14:colorTemperature colorTemp="7200"/>
                              </a14:imgEffect>
                              <a14:imgEffect>
                                <a14:brightnessContrast bright="5000" contrast="5000"/>
                              </a14:imgEffect>
                            </a14:imgLayer>
                          </a14:imgProps>
                        </a:ext>
                        <a:ext uri="{28A0092B-C50C-407E-A947-70E740481C1C}">
                          <a14:useLocalDpi xmlns:a14="http://schemas.microsoft.com/office/drawing/2010/main" val="0"/>
                        </a:ext>
                      </a:extLst>
                    </a:blip>
                    <a:srcRect/>
                    <a:stretch/>
                  </pic:blipFill>
                  <pic:spPr>
                    <a:xfrm>
                      <a:off x="0" y="0"/>
                      <a:ext cx="2422906" cy="1054499"/>
                    </a:xfrm>
                    <a:prstGeom prst="rect">
                      <a:avLst/>
                    </a:prstGeom>
                    <a:effectLst>
                      <a:outerShdw blurRad="63500" sx="102000" sy="102000" algn="ctr" rotWithShape="0">
                        <a:prstClr val="black">
                          <a:alpha val="40000"/>
                        </a:prstClr>
                      </a:outerShdw>
                    </a:effectLst>
                  </pic:spPr>
                </pic:pic>
              </a:graphicData>
            </a:graphic>
          </wp:inline>
        </w:drawing>
      </w:r>
      <w:r w:rsidRPr="00B068BF">
        <w:rPr>
          <w:rFonts w:ascii="Times New Roman" w:hAnsi="Times New Roman" w:cs="Times New Roman"/>
          <w:noProof/>
          <w:lang w:val="ru-RU" w:eastAsia="ru-RU"/>
        </w:rPr>
        <w:drawing>
          <wp:inline distT="0" distB="0" distL="0" distR="0" wp14:anchorId="53C8C8DC" wp14:editId="58CE7E41">
            <wp:extent cx="2552700" cy="1038225"/>
            <wp:effectExtent l="95250" t="76200" r="76200" b="66675"/>
            <wp:docPr id="20" name="Рисунок 19" descr="C:\Documents and Settings\N_Asrorov.NBT\Рабочий стол\Пул-tanga-2021\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nts and Settings\N_Asrorov.NBT\Рабочий стол\Пул-tanga-2021\50-2.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71789" cy="1045989"/>
                    </a:xfrm>
                    <a:prstGeom prst="rect">
                      <a:avLst/>
                    </a:prstGeom>
                    <a:noFill/>
                    <a:ln w="9525">
                      <a:noFill/>
                      <a:miter lim="800000"/>
                      <a:headEnd/>
                      <a:tailEnd/>
                    </a:ln>
                    <a:effectLst>
                      <a:outerShdw blurRad="63500" sx="102000" sy="102000" algn="ctr" rotWithShape="0">
                        <a:prstClr val="black">
                          <a:alpha val="40000"/>
                        </a:prstClr>
                      </a:outerShdw>
                    </a:effectLst>
                  </pic:spPr>
                </pic:pic>
              </a:graphicData>
            </a:graphic>
          </wp:inline>
        </w:drawing>
      </w:r>
    </w:p>
    <w:p w14:paraId="0CA40CBB" w14:textId="77777777" w:rsidR="00C21358" w:rsidRPr="00B068BF" w:rsidRDefault="00C21358" w:rsidP="00B068BF">
      <w:pPr>
        <w:tabs>
          <w:tab w:val="left" w:pos="851"/>
        </w:tabs>
        <w:spacing w:after="0" w:line="240" w:lineRule="auto"/>
        <w:jc w:val="center"/>
        <w:rPr>
          <w:rFonts w:ascii="Times New Roman" w:hAnsi="Times New Roman" w:cs="Times New Roman"/>
          <w:b/>
          <w:lang w:val="ru-RU"/>
        </w:rPr>
      </w:pPr>
      <w:r w:rsidRPr="00B068BF">
        <w:rPr>
          <w:rFonts w:ascii="Times New Roman" w:hAnsi="Times New Roman" w:cs="Times New Roman"/>
          <w:noProof/>
          <w:lang w:val="ru-RU" w:eastAsia="ru-RU"/>
        </w:rPr>
        <w:drawing>
          <wp:inline distT="0" distB="0" distL="0" distR="0" wp14:anchorId="04CE77C2" wp14:editId="7FD4EF6A">
            <wp:extent cx="2476120" cy="1031240"/>
            <wp:effectExtent l="95250" t="76200" r="76835" b="54610"/>
            <wp:docPr id="2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rotWithShape="1">
                    <a:blip r:embed="rId23" cstate="print">
                      <a:extLst>
                        <a:ext uri="{BEBA8EAE-BF5A-486C-A8C5-ECC9F3942E4B}">
                          <a14:imgProps xmlns:a14="http://schemas.microsoft.com/office/drawing/2010/main">
                            <a14:imgLayer r:embed="rId24">
                              <a14:imgEffect>
                                <a14:sharpenSoften amount="30000"/>
                              </a14:imgEffect>
                              <a14:imgEffect>
                                <a14:colorTemperature colorTemp="7200"/>
                              </a14:imgEffect>
                              <a14:imgEffect>
                                <a14:brightnessContrast bright="5000" contrast="5000"/>
                              </a14:imgEffect>
                            </a14:imgLayer>
                          </a14:imgProps>
                        </a:ext>
                        <a:ext uri="{28A0092B-C50C-407E-A947-70E740481C1C}">
                          <a14:useLocalDpi xmlns:a14="http://schemas.microsoft.com/office/drawing/2010/main" val="0"/>
                        </a:ext>
                      </a:extLst>
                    </a:blip>
                    <a:srcRect/>
                    <a:stretch/>
                  </pic:blipFill>
                  <pic:spPr>
                    <a:xfrm>
                      <a:off x="0" y="0"/>
                      <a:ext cx="2489681" cy="1036888"/>
                    </a:xfrm>
                    <a:prstGeom prst="rect">
                      <a:avLst/>
                    </a:prstGeom>
                    <a:effectLst>
                      <a:outerShdw blurRad="63500" sx="102000" sy="102000" algn="ctr" rotWithShape="0">
                        <a:prstClr val="black">
                          <a:alpha val="40000"/>
                        </a:prstClr>
                      </a:outerShdw>
                    </a:effectLst>
                  </pic:spPr>
                </pic:pic>
              </a:graphicData>
            </a:graphic>
          </wp:inline>
        </w:drawing>
      </w:r>
      <w:r w:rsidRPr="00B068BF">
        <w:rPr>
          <w:rFonts w:ascii="Times New Roman" w:hAnsi="Times New Roman" w:cs="Times New Roman"/>
          <w:noProof/>
          <w:lang w:val="ru-RU" w:eastAsia="ru-RU"/>
        </w:rPr>
        <w:drawing>
          <wp:inline distT="0" distB="0" distL="0" distR="0" wp14:anchorId="26F1C094" wp14:editId="2375A60A">
            <wp:extent cx="2571750" cy="1050290"/>
            <wp:effectExtent l="95250" t="76200" r="76200" b="54610"/>
            <wp:docPr id="25" name="Рисунок 21" descr="C:\Documents and Settings\N_Asrorov.NBT\Рабочий стол\Пул-tanga-2021\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Documents and Settings\N_Asrorov.NBT\Рабочий стол\Пул-tanga-2021\100-2.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86887" cy="1056472"/>
                    </a:xfrm>
                    <a:prstGeom prst="rect">
                      <a:avLst/>
                    </a:prstGeom>
                    <a:noFill/>
                    <a:ln w="9525">
                      <a:noFill/>
                      <a:miter lim="800000"/>
                      <a:headEnd/>
                      <a:tailEnd/>
                    </a:ln>
                    <a:effectLst>
                      <a:outerShdw blurRad="63500" sx="102000" sy="102000" algn="ctr" rotWithShape="0">
                        <a:prstClr val="black">
                          <a:alpha val="40000"/>
                        </a:prstClr>
                      </a:outerShdw>
                    </a:effectLst>
                  </pic:spPr>
                </pic:pic>
              </a:graphicData>
            </a:graphic>
          </wp:inline>
        </w:drawing>
      </w:r>
    </w:p>
    <w:p w14:paraId="0C89181C" w14:textId="77777777" w:rsidR="00C21358" w:rsidRPr="00B068BF" w:rsidRDefault="00C21358" w:rsidP="00B068BF">
      <w:pPr>
        <w:tabs>
          <w:tab w:val="left" w:pos="851"/>
        </w:tabs>
        <w:spacing w:after="0" w:line="240" w:lineRule="auto"/>
        <w:jc w:val="center"/>
        <w:rPr>
          <w:rFonts w:ascii="Times New Roman" w:hAnsi="Times New Roman" w:cs="Times New Roman"/>
          <w:b/>
          <w:lang w:val="ru-RU"/>
        </w:rPr>
      </w:pPr>
      <w:r w:rsidRPr="00B068BF">
        <w:rPr>
          <w:rFonts w:ascii="Times New Roman" w:hAnsi="Times New Roman" w:cs="Times New Roman"/>
          <w:noProof/>
          <w:lang w:val="ru-RU" w:eastAsia="ru-RU"/>
        </w:rPr>
        <w:drawing>
          <wp:inline distT="0" distB="0" distL="0" distR="0" wp14:anchorId="736F90EA" wp14:editId="1A17658F">
            <wp:extent cx="2541905" cy="1028700"/>
            <wp:effectExtent l="95250" t="76200" r="67945" b="57150"/>
            <wp:docPr id="2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pic:cNvPicPr>
                  </pic:nvPicPr>
                  <pic:blipFill rotWithShape="1">
                    <a:blip r:embed="rId26" cstate="print">
                      <a:extLst>
                        <a:ext uri="{BEBA8EAE-BF5A-486C-A8C5-ECC9F3942E4B}">
                          <a14:imgProps xmlns:a14="http://schemas.microsoft.com/office/drawing/2010/main">
                            <a14:imgLayer r:embed="rId27">
                              <a14:imgEffect>
                                <a14:sharpenSoften amount="30000"/>
                              </a14:imgEffect>
                              <a14:imgEffect>
                                <a14:colorTemperature colorTemp="7200"/>
                              </a14:imgEffect>
                              <a14:imgEffect>
                                <a14:brightnessContrast bright="5000" contrast="5000"/>
                              </a14:imgEffect>
                            </a14:imgLayer>
                          </a14:imgProps>
                        </a:ext>
                        <a:ext uri="{28A0092B-C50C-407E-A947-70E740481C1C}">
                          <a14:useLocalDpi xmlns:a14="http://schemas.microsoft.com/office/drawing/2010/main" val="0"/>
                        </a:ext>
                      </a:extLst>
                    </a:blip>
                    <a:srcRect/>
                    <a:stretch/>
                  </pic:blipFill>
                  <pic:spPr>
                    <a:xfrm>
                      <a:off x="0" y="0"/>
                      <a:ext cx="2559539" cy="1035836"/>
                    </a:xfrm>
                    <a:prstGeom prst="rect">
                      <a:avLst/>
                    </a:prstGeom>
                    <a:effectLst>
                      <a:outerShdw blurRad="63500" sx="102000" sy="102000" algn="ctr" rotWithShape="0">
                        <a:prstClr val="black">
                          <a:alpha val="40000"/>
                        </a:prstClr>
                      </a:outerShdw>
                    </a:effectLst>
                  </pic:spPr>
                </pic:pic>
              </a:graphicData>
            </a:graphic>
          </wp:inline>
        </w:drawing>
      </w:r>
      <w:r w:rsidRPr="00B068BF">
        <w:rPr>
          <w:rFonts w:ascii="Times New Roman" w:hAnsi="Times New Roman" w:cs="Times New Roman"/>
          <w:noProof/>
          <w:lang w:val="ru-RU" w:eastAsia="ru-RU"/>
        </w:rPr>
        <w:drawing>
          <wp:inline distT="0" distB="0" distL="0" distR="0" wp14:anchorId="0E9FDEDE" wp14:editId="26359BCE">
            <wp:extent cx="2571750" cy="1026160"/>
            <wp:effectExtent l="95250" t="76200" r="76200" b="59690"/>
            <wp:docPr id="27" name="Рисунок 25" descr="C:\Documents and Settings\N_Asrorov.NBT\Рабочий стол\Пул-tanga-2021\2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Documents and Settings\N_Asrorov.NBT\Рабочий стол\Пул-tanga-2021\200-2.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07804" cy="1040546"/>
                    </a:xfrm>
                    <a:prstGeom prst="rect">
                      <a:avLst/>
                    </a:prstGeom>
                    <a:noFill/>
                    <a:ln w="9525">
                      <a:noFill/>
                      <a:miter lim="800000"/>
                      <a:headEnd/>
                      <a:tailEnd/>
                    </a:ln>
                    <a:effectLst>
                      <a:outerShdw blurRad="63500" sx="102000" sy="102000" algn="ctr" rotWithShape="0">
                        <a:prstClr val="black">
                          <a:alpha val="40000"/>
                        </a:prstClr>
                      </a:outerShdw>
                    </a:effectLst>
                  </pic:spPr>
                </pic:pic>
              </a:graphicData>
            </a:graphic>
          </wp:inline>
        </w:drawing>
      </w:r>
    </w:p>
    <w:p w14:paraId="026EAA2A" w14:textId="77777777" w:rsidR="00C21358" w:rsidRPr="00B068BF" w:rsidRDefault="00C21358" w:rsidP="00B068BF">
      <w:pPr>
        <w:tabs>
          <w:tab w:val="left" w:pos="851"/>
        </w:tabs>
        <w:spacing w:after="0" w:line="240" w:lineRule="auto"/>
        <w:jc w:val="center"/>
        <w:rPr>
          <w:rFonts w:ascii="Times New Roman" w:hAnsi="Times New Roman" w:cs="Times New Roman"/>
          <w:b/>
          <w:lang w:val="ru-RU"/>
        </w:rPr>
      </w:pPr>
      <w:r w:rsidRPr="00B068BF">
        <w:rPr>
          <w:rFonts w:ascii="Times New Roman" w:hAnsi="Times New Roman" w:cs="Times New Roman"/>
          <w:noProof/>
          <w:lang w:val="ru-RU" w:eastAsia="ru-RU"/>
        </w:rPr>
        <w:drawing>
          <wp:inline distT="0" distB="0" distL="0" distR="0" wp14:anchorId="71A6E74E" wp14:editId="2B048164">
            <wp:extent cx="2589466" cy="1114425"/>
            <wp:effectExtent l="95250" t="76200" r="78105" b="47625"/>
            <wp:docPr id="2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rotWithShape="1">
                    <a:blip r:embed="rId29" cstate="print">
                      <a:extLst>
                        <a:ext uri="{BEBA8EAE-BF5A-486C-A8C5-ECC9F3942E4B}">
                          <a14:imgProps xmlns:a14="http://schemas.microsoft.com/office/drawing/2010/main">
                            <a14:imgLayer r:embed="rId30">
                              <a14:imgEffect>
                                <a14:sharpenSoften amount="33000"/>
                              </a14:imgEffect>
                              <a14:imgEffect>
                                <a14:brightnessContrast bright="8000" contrast="5000"/>
                              </a14:imgEffect>
                            </a14:imgLayer>
                          </a14:imgProps>
                        </a:ext>
                        <a:ext uri="{28A0092B-C50C-407E-A947-70E740481C1C}">
                          <a14:useLocalDpi xmlns:a14="http://schemas.microsoft.com/office/drawing/2010/main" val="0"/>
                        </a:ext>
                      </a:extLst>
                    </a:blip>
                    <a:srcRect/>
                    <a:stretch/>
                  </pic:blipFill>
                  <pic:spPr>
                    <a:xfrm>
                      <a:off x="0" y="0"/>
                      <a:ext cx="2609061" cy="1122858"/>
                    </a:xfrm>
                    <a:prstGeom prst="rect">
                      <a:avLst/>
                    </a:prstGeom>
                    <a:effectLst>
                      <a:outerShdw blurRad="63500" sx="102000" sy="102000" algn="ctr" rotWithShape="0">
                        <a:prstClr val="black">
                          <a:alpha val="40000"/>
                        </a:prstClr>
                      </a:outerShdw>
                    </a:effectLst>
                  </pic:spPr>
                </pic:pic>
              </a:graphicData>
            </a:graphic>
          </wp:inline>
        </w:drawing>
      </w:r>
      <w:r w:rsidRPr="00B068BF">
        <w:rPr>
          <w:rFonts w:ascii="Times New Roman" w:hAnsi="Times New Roman" w:cs="Times New Roman"/>
          <w:noProof/>
          <w:lang w:val="ru-RU" w:eastAsia="ru-RU"/>
        </w:rPr>
        <w:drawing>
          <wp:inline distT="0" distB="0" distL="0" distR="0" wp14:anchorId="66E49C16" wp14:editId="6B44F21F">
            <wp:extent cx="2609850" cy="1087120"/>
            <wp:effectExtent l="95250" t="76200" r="76200" b="55880"/>
            <wp:docPr id="2" name="Рисунок 14" descr="C:\Documents and Settings\N_Asrorov.NBT\Рабочий стол\Пул-tanga-2021\5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N_Asrorov.NBT\Рабочий стол\Пул-tanga-2021\500-2.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43703" cy="1101221"/>
                    </a:xfrm>
                    <a:prstGeom prst="rect">
                      <a:avLst/>
                    </a:prstGeom>
                    <a:noFill/>
                    <a:ln w="9525">
                      <a:noFill/>
                      <a:miter lim="800000"/>
                      <a:headEnd/>
                      <a:tailEnd/>
                    </a:ln>
                    <a:effectLst>
                      <a:outerShdw blurRad="63500" sx="102000" sy="102000" algn="ctr" rotWithShape="0">
                        <a:prstClr val="black">
                          <a:alpha val="40000"/>
                        </a:prstClr>
                      </a:outerShdw>
                    </a:effectLst>
                  </pic:spPr>
                </pic:pic>
              </a:graphicData>
            </a:graphic>
          </wp:inline>
        </w:drawing>
      </w:r>
    </w:p>
    <w:p w14:paraId="6A82C560" w14:textId="77777777" w:rsidR="00C21358" w:rsidRPr="00B068BF" w:rsidRDefault="00C21358" w:rsidP="00F94CC0">
      <w:pPr>
        <w:pStyle w:val="a3"/>
        <w:widowControl w:val="0"/>
        <w:tabs>
          <w:tab w:val="left" w:pos="-90"/>
          <w:tab w:val="left" w:pos="2271"/>
          <w:tab w:val="left" w:pos="4829"/>
          <w:tab w:val="left" w:pos="5173"/>
        </w:tabs>
        <w:autoSpaceDE w:val="0"/>
        <w:autoSpaceDN w:val="0"/>
        <w:spacing w:after="0" w:line="240" w:lineRule="auto"/>
        <w:ind w:left="-90" w:firstLine="900"/>
        <w:contextualSpacing w:val="0"/>
        <w:jc w:val="both"/>
        <w:rPr>
          <w:rFonts w:ascii="Times New Roman" w:hAnsi="Times New Roman" w:cs="Times New Roman"/>
          <w:lang w:val="ru-RU"/>
        </w:rPr>
      </w:pPr>
    </w:p>
    <w:p w14:paraId="3F8FBB9F" w14:textId="77777777" w:rsidR="00AE2FCB" w:rsidRDefault="00AE2FCB" w:rsidP="0090165A">
      <w:pPr>
        <w:spacing w:after="0" w:line="240" w:lineRule="auto"/>
        <w:ind w:left="8"/>
        <w:jc w:val="both"/>
        <w:rPr>
          <w:rFonts w:ascii="Times New Roman" w:hAnsi="Times New Roman" w:cs="Times New Roman"/>
          <w:b/>
          <w:sz w:val="24"/>
          <w:szCs w:val="24"/>
          <w:u w:val="single"/>
          <w:lang w:val="ru-RU"/>
        </w:rPr>
      </w:pPr>
    </w:p>
    <w:p w14:paraId="2C1A68B5" w14:textId="43842517" w:rsidR="00A7203D" w:rsidRPr="00B068BF" w:rsidRDefault="00135BC8" w:rsidP="0090165A">
      <w:pPr>
        <w:spacing w:after="0" w:line="240" w:lineRule="auto"/>
        <w:ind w:left="8"/>
        <w:jc w:val="both"/>
        <w:rPr>
          <w:rFonts w:ascii="Times New Roman" w:hAnsi="Times New Roman" w:cs="Times New Roman"/>
          <w:b/>
          <w:sz w:val="24"/>
          <w:szCs w:val="24"/>
          <w:u w:val="single"/>
          <w:lang w:val="ru-RU"/>
        </w:rPr>
      </w:pPr>
      <w:r w:rsidRPr="00B068BF">
        <w:rPr>
          <w:rFonts w:ascii="Times New Roman" w:hAnsi="Times New Roman" w:cs="Times New Roman"/>
          <w:noProof/>
          <w:sz w:val="24"/>
          <w:szCs w:val="24"/>
          <w:lang w:val="ru-RU" w:eastAsia="ru-RU"/>
        </w:rPr>
        <mc:AlternateContent>
          <mc:Choice Requires="wps">
            <w:drawing>
              <wp:anchor distT="0" distB="0" distL="114300" distR="114300" simplePos="0" relativeHeight="251661312" behindDoc="0" locked="0" layoutInCell="1" allowOverlap="1" wp14:anchorId="4F099250" wp14:editId="3D3ED510">
                <wp:simplePos x="0" y="0"/>
                <wp:positionH relativeFrom="page">
                  <wp:posOffset>7552690</wp:posOffset>
                </wp:positionH>
                <wp:positionV relativeFrom="page">
                  <wp:posOffset>6572250</wp:posOffset>
                </wp:positionV>
                <wp:extent cx="0" cy="0"/>
                <wp:effectExtent l="8890" t="2695575" r="10160" b="2693670"/>
                <wp:wrapNone/>
                <wp:docPr id="95" name="Straight Connector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4583">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5850060" id="Straight Connector 95" o:spid="_x0000_s1026" style="position:absolute;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94.7pt,517.5pt" to="594.7pt,5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" strokeweight=".1273mm">
                <w10:wrap anchorx="page" anchory="page"/>
              </v:line>
            </w:pict>
          </mc:Fallback>
        </mc:AlternateContent>
      </w:r>
      <w:r w:rsidRPr="00B068BF">
        <w:rPr>
          <w:rFonts w:ascii="Times New Roman" w:hAnsi="Times New Roman" w:cs="Times New Roman"/>
          <w:noProof/>
          <w:sz w:val="24"/>
          <w:szCs w:val="24"/>
          <w:lang w:val="ru-RU" w:eastAsia="ru-RU"/>
        </w:rPr>
        <mc:AlternateContent>
          <mc:Choice Requires="wps">
            <w:drawing>
              <wp:anchor distT="0" distB="0" distL="114300" distR="114300" simplePos="0" relativeHeight="251662336" behindDoc="0" locked="0" layoutInCell="1" allowOverlap="1" wp14:anchorId="2E80A406" wp14:editId="18215286">
                <wp:simplePos x="0" y="0"/>
                <wp:positionH relativeFrom="page">
                  <wp:posOffset>7552690</wp:posOffset>
                </wp:positionH>
                <wp:positionV relativeFrom="page">
                  <wp:posOffset>3604260</wp:posOffset>
                </wp:positionV>
                <wp:extent cx="0" cy="0"/>
                <wp:effectExtent l="8890" t="956310" r="10160" b="949325"/>
                <wp:wrapNone/>
                <wp:docPr id="94" name="Straight Connector 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0">
                          <a:solidFill>
                            <a:srgbClr val="DADADB"/>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0253A6A" id="Straight Connector 94" o:spid="_x0000_s1026" style="position:absolute;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94.7pt,283.8pt" to="594.7pt,28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" strokecolor="#dadadb" strokeweight="0">
                <w10:wrap anchorx="page" anchory="page"/>
              </v:line>
            </w:pict>
          </mc:Fallback>
        </mc:AlternateContent>
      </w:r>
      <w:r w:rsidRPr="00B068BF">
        <w:rPr>
          <w:rFonts w:ascii="Times New Roman" w:hAnsi="Times New Roman" w:cs="Times New Roman"/>
          <w:noProof/>
          <w:sz w:val="24"/>
          <w:szCs w:val="24"/>
          <w:lang w:val="ru-RU" w:eastAsia="ru-RU"/>
        </w:rPr>
        <mc:AlternateContent>
          <mc:Choice Requires="wps">
            <w:drawing>
              <wp:anchor distT="0" distB="0" distL="114300" distR="114300" simplePos="0" relativeHeight="251663360" behindDoc="0" locked="0" layoutInCell="1" allowOverlap="1" wp14:anchorId="51679813" wp14:editId="0E41EFFD">
                <wp:simplePos x="0" y="0"/>
                <wp:positionH relativeFrom="page">
                  <wp:posOffset>7548245</wp:posOffset>
                </wp:positionH>
                <wp:positionV relativeFrom="page">
                  <wp:posOffset>7190105</wp:posOffset>
                </wp:positionV>
                <wp:extent cx="0" cy="0"/>
                <wp:effectExtent l="13970" t="484505" r="5080" b="487045"/>
                <wp:wrapNone/>
                <wp:docPr id="93" name="Straight Connector 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16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A6E595" id="Straight Connector 93" o:spid="_x0000_s1026" style="position:absolute;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94.35pt,566.15pt" to="594.35pt,56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" strokeweight=".25461mm">
                <w10:wrap anchorx="page" anchory="page"/>
              </v:line>
            </w:pict>
          </mc:Fallback>
        </mc:AlternateContent>
      </w:r>
      <w:r w:rsidR="00D6401B" w:rsidRPr="00B068BF">
        <w:rPr>
          <w:rFonts w:ascii="Times New Roman" w:hAnsi="Times New Roman" w:cs="Times New Roman"/>
          <w:b/>
          <w:sz w:val="24"/>
          <w:szCs w:val="24"/>
          <w:u w:val="single"/>
          <w:lang w:val="ru-RU"/>
        </w:rPr>
        <w:t xml:space="preserve">2. </w:t>
      </w:r>
      <w:r w:rsidR="00A7203D" w:rsidRPr="00B068BF">
        <w:rPr>
          <w:rFonts w:ascii="Times New Roman" w:hAnsi="Times New Roman" w:cs="Times New Roman"/>
          <w:b/>
          <w:sz w:val="24"/>
          <w:szCs w:val="24"/>
          <w:u w:val="single"/>
          <w:lang w:val="ru-RU"/>
        </w:rPr>
        <w:t xml:space="preserve">Информация о защитных элементах выпущенных в обращение банкнот (в случае </w:t>
      </w:r>
      <w:r w:rsidR="002750B6" w:rsidRPr="00B068BF">
        <w:rPr>
          <w:rFonts w:ascii="Times New Roman" w:hAnsi="Times New Roman" w:cs="Times New Roman"/>
          <w:b/>
          <w:sz w:val="24"/>
          <w:szCs w:val="24"/>
          <w:u w:val="single"/>
          <w:lang w:val="ru-RU"/>
        </w:rPr>
        <w:t>внедрения новых элементов в 2022</w:t>
      </w:r>
      <w:r w:rsidR="00A7203D" w:rsidRPr="00B068BF">
        <w:rPr>
          <w:rFonts w:ascii="Times New Roman" w:hAnsi="Times New Roman" w:cs="Times New Roman"/>
          <w:b/>
          <w:sz w:val="24"/>
          <w:szCs w:val="24"/>
          <w:u w:val="single"/>
          <w:lang w:val="ru-RU"/>
        </w:rPr>
        <w:t xml:space="preserve"> году)</w:t>
      </w:r>
    </w:p>
    <w:p w14:paraId="0C2FC425" w14:textId="77777777" w:rsidR="00A7203D" w:rsidRPr="00B068BF" w:rsidRDefault="00A7203D" w:rsidP="00D6459F">
      <w:pPr>
        <w:tabs>
          <w:tab w:val="left" w:pos="851"/>
        </w:tabs>
        <w:spacing w:after="0" w:line="240" w:lineRule="auto"/>
        <w:jc w:val="both"/>
        <w:rPr>
          <w:rFonts w:ascii="Times New Roman" w:hAnsi="Times New Roman" w:cs="Times New Roman"/>
          <w:sz w:val="24"/>
          <w:szCs w:val="24"/>
          <w:lang w:val="ru-RU"/>
        </w:rPr>
      </w:pPr>
    </w:p>
    <w:p w14:paraId="1F84717F" w14:textId="77777777" w:rsidR="00A7203D" w:rsidRPr="00B068BF" w:rsidRDefault="00A7203D" w:rsidP="00D6459F">
      <w:pPr>
        <w:pStyle w:val="a3"/>
        <w:numPr>
          <w:ilvl w:val="0"/>
          <w:numId w:val="4"/>
        </w:numPr>
        <w:tabs>
          <w:tab w:val="left" w:pos="851"/>
        </w:tabs>
        <w:spacing w:after="0" w:line="240" w:lineRule="auto"/>
        <w:jc w:val="both"/>
        <w:rPr>
          <w:rFonts w:ascii="Times New Roman" w:hAnsi="Times New Roman" w:cs="Times New Roman"/>
          <w:b/>
          <w:sz w:val="24"/>
          <w:szCs w:val="24"/>
          <w:lang w:val="ru-RU"/>
        </w:rPr>
      </w:pPr>
      <w:r w:rsidRPr="00B068BF">
        <w:rPr>
          <w:rFonts w:ascii="Times New Roman" w:hAnsi="Times New Roman" w:cs="Times New Roman"/>
          <w:b/>
          <w:sz w:val="24"/>
          <w:szCs w:val="24"/>
          <w:lang w:val="ru-RU"/>
        </w:rPr>
        <w:t xml:space="preserve">Центральный банк </w:t>
      </w:r>
      <w:r w:rsidR="00D6459F" w:rsidRPr="00B068BF">
        <w:rPr>
          <w:rFonts w:ascii="Times New Roman" w:hAnsi="Times New Roman" w:cs="Times New Roman"/>
          <w:b/>
          <w:sz w:val="24"/>
          <w:szCs w:val="24"/>
          <w:lang w:val="ru-RU"/>
        </w:rPr>
        <w:t xml:space="preserve">Республики </w:t>
      </w:r>
      <w:r w:rsidRPr="00B068BF">
        <w:rPr>
          <w:rFonts w:ascii="Times New Roman" w:hAnsi="Times New Roman" w:cs="Times New Roman"/>
          <w:b/>
          <w:sz w:val="24"/>
          <w:szCs w:val="24"/>
          <w:lang w:val="ru-RU"/>
        </w:rPr>
        <w:t>Армени</w:t>
      </w:r>
      <w:r w:rsidR="00D6459F" w:rsidRPr="00B068BF">
        <w:rPr>
          <w:rFonts w:ascii="Times New Roman" w:hAnsi="Times New Roman" w:cs="Times New Roman"/>
          <w:b/>
          <w:sz w:val="24"/>
          <w:szCs w:val="24"/>
          <w:lang w:val="ru-RU"/>
        </w:rPr>
        <w:t>я</w:t>
      </w:r>
    </w:p>
    <w:p w14:paraId="3702D580" w14:textId="77777777" w:rsidR="003C6ADB" w:rsidRPr="00B068BF" w:rsidRDefault="003C6ADB" w:rsidP="003C6ADB">
      <w:pPr>
        <w:spacing w:after="0" w:line="240" w:lineRule="auto"/>
        <w:ind w:left="8" w:firstLine="352"/>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Как было указано в 1-ом пункте настоящего Отчета, в 2022 году Центральный банк Армении выпустил банкноту номиналом 1000 драм, где, по сравнению с той же банкнотой 2018 года выпуска, были изменены:</w:t>
      </w:r>
    </w:p>
    <w:p w14:paraId="02C56A78" w14:textId="77777777" w:rsidR="003C6ADB" w:rsidRPr="00B068BF" w:rsidRDefault="003C6ADB" w:rsidP="003C6ADB">
      <w:pPr>
        <w:spacing w:after="0" w:line="240" w:lineRule="auto"/>
        <w:ind w:left="8" w:firstLine="352"/>
        <w:jc w:val="both"/>
        <w:rPr>
          <w:rFonts w:ascii="Times New Roman" w:hAnsi="Times New Roman" w:cs="Times New Roman"/>
          <w:lang w:val="ru-RU"/>
        </w:rPr>
      </w:pPr>
    </w:p>
    <w:p w14:paraId="02A2B18C" w14:textId="0D0A836B" w:rsidR="003C6ADB" w:rsidRPr="00B068BF" w:rsidRDefault="003C6ADB" w:rsidP="00B068BF">
      <w:pPr>
        <w:spacing w:after="0" w:line="240" w:lineRule="auto"/>
        <w:jc w:val="center"/>
        <w:rPr>
          <w:rFonts w:ascii="Times New Roman" w:hAnsi="Times New Roman" w:cs="Times New Roman"/>
          <w:lang w:val="ru-RU"/>
        </w:rPr>
      </w:pPr>
      <w:r w:rsidRPr="00B068BF">
        <w:rPr>
          <w:rFonts w:ascii="Times New Roman" w:hAnsi="Times New Roman" w:cs="Times New Roman"/>
          <w:noProof/>
          <w:sz w:val="20"/>
          <w:szCs w:val="20"/>
          <w:lang w:val="hy-AM"/>
        </w:rPr>
        <w:t>2018</w:t>
      </w:r>
      <w:r w:rsidRPr="00B068BF">
        <w:rPr>
          <w:rFonts w:ascii="Times New Roman" w:hAnsi="Times New Roman" w:cs="Times New Roman"/>
          <w:noProof/>
          <w:sz w:val="20"/>
          <w:szCs w:val="20"/>
          <w:lang w:val="ru-RU"/>
        </w:rPr>
        <w:t xml:space="preserve"> г</w:t>
      </w:r>
      <w:r w:rsidRPr="00B068BF">
        <w:rPr>
          <w:rFonts w:ascii="Times New Roman" w:hAnsi="Times New Roman" w:cs="Times New Roman"/>
          <w:noProof/>
          <w:sz w:val="20"/>
          <w:szCs w:val="20"/>
          <w:lang w:val="hy-AM"/>
        </w:rPr>
        <w:t>.</w:t>
      </w:r>
      <w:r w:rsidRPr="00B068BF">
        <w:rPr>
          <w:rFonts w:ascii="Times New Roman" w:hAnsi="Times New Roman" w:cs="Times New Roman"/>
          <w:noProof/>
          <w:szCs w:val="24"/>
          <w:lang w:val="hy-AM"/>
        </w:rPr>
        <w:t xml:space="preserve"> </w:t>
      </w:r>
      <w:r w:rsidRPr="00B068BF">
        <w:rPr>
          <w:rFonts w:ascii="Times New Roman" w:hAnsi="Times New Roman" w:cs="Times New Roman"/>
          <w:noProof/>
          <w:szCs w:val="24"/>
          <w:lang w:val="ru-RU" w:eastAsia="ru-RU"/>
        </w:rPr>
        <w:drawing>
          <wp:inline distT="0" distB="0" distL="0" distR="0" wp14:anchorId="12A083A5" wp14:editId="32E71667">
            <wp:extent cx="2647785" cy="1467915"/>
            <wp:effectExtent l="0" t="0" r="63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86381" cy="1489312"/>
                    </a:xfrm>
                    <a:prstGeom prst="rect">
                      <a:avLst/>
                    </a:prstGeom>
                    <a:noFill/>
                    <a:ln>
                      <a:noFill/>
                    </a:ln>
                  </pic:spPr>
                </pic:pic>
              </a:graphicData>
            </a:graphic>
          </wp:inline>
        </w:drawing>
      </w:r>
      <w:r w:rsidRPr="00B068BF">
        <w:rPr>
          <w:rFonts w:ascii="Times New Roman" w:hAnsi="Times New Roman" w:cs="Times New Roman"/>
          <w:lang w:val="ru-RU"/>
        </w:rPr>
        <w:t xml:space="preserve">  </w:t>
      </w:r>
      <w:r w:rsidRPr="00B068BF">
        <w:rPr>
          <w:rFonts w:ascii="Times New Roman" w:hAnsi="Times New Roman" w:cs="Times New Roman"/>
          <w:noProof/>
          <w:szCs w:val="24"/>
          <w:lang w:val="ru-RU" w:eastAsia="ru-RU"/>
        </w:rPr>
        <w:drawing>
          <wp:inline distT="0" distB="0" distL="0" distR="0" wp14:anchorId="66532F81" wp14:editId="205249A6">
            <wp:extent cx="2623930" cy="1440096"/>
            <wp:effectExtent l="0" t="0" r="5080" b="825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68987" cy="1464824"/>
                    </a:xfrm>
                    <a:prstGeom prst="rect">
                      <a:avLst/>
                    </a:prstGeom>
                    <a:noFill/>
                    <a:ln>
                      <a:noFill/>
                    </a:ln>
                  </pic:spPr>
                </pic:pic>
              </a:graphicData>
            </a:graphic>
          </wp:inline>
        </w:drawing>
      </w:r>
    </w:p>
    <w:p w14:paraId="36820C58" w14:textId="77777777" w:rsidR="003C6ADB" w:rsidRPr="00B068BF" w:rsidRDefault="003C6ADB" w:rsidP="003C6ADB">
      <w:pPr>
        <w:pStyle w:val="a3"/>
        <w:numPr>
          <w:ilvl w:val="0"/>
          <w:numId w:val="19"/>
        </w:numPr>
        <w:spacing w:after="0" w:line="240" w:lineRule="auto"/>
        <w:ind w:left="540" w:hanging="540"/>
        <w:jc w:val="both"/>
        <w:rPr>
          <w:rFonts w:ascii="Times New Roman" w:hAnsi="Times New Roman" w:cs="Times New Roman"/>
          <w:b/>
          <w:u w:val="single"/>
          <w:lang w:val="ru-RU"/>
        </w:rPr>
      </w:pPr>
      <w:r w:rsidRPr="00B068BF">
        <w:rPr>
          <w:rFonts w:ascii="Times New Roman" w:hAnsi="Times New Roman" w:cs="Times New Roman"/>
          <w:noProof/>
          <w:sz w:val="20"/>
          <w:szCs w:val="20"/>
          <w:lang w:val="ru-RU"/>
        </w:rPr>
        <w:lastRenderedPageBreak/>
        <w:t>г</w:t>
      </w:r>
      <w:r w:rsidRPr="00B068BF">
        <w:rPr>
          <w:rFonts w:ascii="Times New Roman" w:hAnsi="Times New Roman" w:cs="Times New Roman"/>
          <w:noProof/>
          <w:sz w:val="20"/>
          <w:szCs w:val="20"/>
          <w:lang w:val="hy-AM"/>
        </w:rPr>
        <w:t>.</w:t>
      </w:r>
      <w:r w:rsidRPr="00B068BF">
        <w:rPr>
          <w:rFonts w:ascii="Times New Roman" w:hAnsi="Times New Roman" w:cs="Times New Roman"/>
          <w:noProof/>
          <w:lang w:val="ru-RU" w:eastAsia="ru-RU"/>
        </w:rPr>
        <w:drawing>
          <wp:inline distT="0" distB="0" distL="0" distR="0" wp14:anchorId="0FE01A5B" wp14:editId="235FDF9D">
            <wp:extent cx="2663217" cy="1468306"/>
            <wp:effectExtent l="0" t="0" r="381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96967" cy="1486913"/>
                    </a:xfrm>
                    <a:prstGeom prst="rect">
                      <a:avLst/>
                    </a:prstGeom>
                    <a:noFill/>
                    <a:ln>
                      <a:noFill/>
                    </a:ln>
                  </pic:spPr>
                </pic:pic>
              </a:graphicData>
            </a:graphic>
          </wp:inline>
        </w:drawing>
      </w:r>
      <w:r w:rsidRPr="00B068BF">
        <w:rPr>
          <w:rFonts w:ascii="Times New Roman" w:hAnsi="Times New Roman" w:cs="Times New Roman"/>
          <w:noProof/>
          <w:szCs w:val="24"/>
          <w:lang w:val="ru-RU"/>
        </w:rPr>
        <w:t xml:space="preserve">  </w:t>
      </w:r>
      <w:r w:rsidRPr="00B068BF">
        <w:rPr>
          <w:rFonts w:ascii="Times New Roman" w:hAnsi="Times New Roman" w:cs="Times New Roman"/>
          <w:noProof/>
          <w:lang w:val="ru-RU" w:eastAsia="ru-RU"/>
        </w:rPr>
        <w:drawing>
          <wp:inline distT="0" distB="0" distL="0" distR="0" wp14:anchorId="3012599C" wp14:editId="4B048BC4">
            <wp:extent cx="2652565" cy="1462433"/>
            <wp:effectExtent l="0" t="0" r="0" b="444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89115" cy="1482584"/>
                    </a:xfrm>
                    <a:prstGeom prst="rect">
                      <a:avLst/>
                    </a:prstGeom>
                    <a:noFill/>
                    <a:ln>
                      <a:noFill/>
                    </a:ln>
                  </pic:spPr>
                </pic:pic>
              </a:graphicData>
            </a:graphic>
          </wp:inline>
        </w:drawing>
      </w:r>
    </w:p>
    <w:p w14:paraId="3620668F" w14:textId="77777777" w:rsidR="003C6ADB" w:rsidRPr="00B068BF" w:rsidRDefault="003C6ADB" w:rsidP="003C6ADB">
      <w:pPr>
        <w:spacing w:after="0"/>
        <w:jc w:val="both"/>
        <w:rPr>
          <w:rFonts w:ascii="Times New Roman" w:hAnsi="Times New Roman" w:cs="Times New Roman"/>
          <w:lang w:val="ru-RU"/>
        </w:rPr>
      </w:pPr>
    </w:p>
    <w:p w14:paraId="140B5D95" w14:textId="77777777" w:rsidR="003C6ADB" w:rsidRPr="00B068BF" w:rsidRDefault="003C6ADB" w:rsidP="003C6ADB">
      <w:pPr>
        <w:spacing w:after="0"/>
        <w:ind w:firstLine="54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 год выпуска - «2022»,</w:t>
      </w:r>
    </w:p>
    <w:p w14:paraId="1311EA9C" w14:textId="77777777" w:rsidR="003C6ADB" w:rsidRPr="00B068BF" w:rsidRDefault="003C6ADB" w:rsidP="003C6ADB">
      <w:pPr>
        <w:spacing w:after="0"/>
        <w:ind w:firstLine="54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 подписи Председателя Центрального банка Армении и Министра финансов Армении,</w:t>
      </w:r>
    </w:p>
    <w:p w14:paraId="31620F1B" w14:textId="77777777" w:rsidR="003C6ADB" w:rsidRPr="00B068BF" w:rsidRDefault="003C6ADB" w:rsidP="003C6ADB">
      <w:pPr>
        <w:spacing w:after="0"/>
        <w:ind w:firstLine="54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 вторая буква вертикального и горизонтального серийного номера:</w:t>
      </w:r>
    </w:p>
    <w:p w14:paraId="19EA4DA3" w14:textId="77777777" w:rsidR="003C6ADB" w:rsidRPr="00B068BF" w:rsidRDefault="003C6ADB" w:rsidP="003C6ADB">
      <w:pPr>
        <w:spacing w:after="0"/>
        <w:jc w:val="both"/>
        <w:rPr>
          <w:rFonts w:ascii="Times New Roman" w:hAnsi="Times New Roman" w:cs="Times New Roman"/>
          <w:lang w:val="ru-RU"/>
        </w:rPr>
      </w:pPr>
    </w:p>
    <w:p w14:paraId="4CB11CFD" w14:textId="77777777" w:rsidR="003C6ADB" w:rsidRPr="00B068BF" w:rsidRDefault="003C6ADB" w:rsidP="003C6ADB">
      <w:pPr>
        <w:spacing w:after="0"/>
        <w:jc w:val="both"/>
        <w:rPr>
          <w:rFonts w:ascii="Times New Roman" w:hAnsi="Times New Roman" w:cs="Times New Roman"/>
          <w:noProof/>
          <w:lang w:val="ru-RU"/>
        </w:rPr>
      </w:pPr>
      <w:r w:rsidRPr="00B068BF">
        <w:rPr>
          <w:rFonts w:ascii="Times New Roman" w:hAnsi="Times New Roman" w:cs="Times New Roman"/>
          <w:noProof/>
          <w:sz w:val="20"/>
          <w:szCs w:val="20"/>
          <w:lang w:val="ru-RU"/>
        </w:rPr>
        <w:t>2018</w:t>
      </w:r>
      <w:r w:rsidRPr="00B068BF">
        <w:rPr>
          <w:rFonts w:ascii="Times New Roman" w:hAnsi="Times New Roman" w:cs="Times New Roman"/>
          <w:noProof/>
          <w:sz w:val="20"/>
          <w:szCs w:val="20"/>
          <w:lang w:val="hy-AM"/>
        </w:rPr>
        <w:t xml:space="preserve"> </w:t>
      </w:r>
      <w:r w:rsidRPr="00B068BF">
        <w:rPr>
          <w:rFonts w:ascii="Times New Roman" w:hAnsi="Times New Roman" w:cs="Times New Roman"/>
          <w:noProof/>
          <w:sz w:val="20"/>
          <w:szCs w:val="20"/>
          <w:lang w:val="ru-RU"/>
        </w:rPr>
        <w:t>г</w:t>
      </w:r>
      <w:r w:rsidRPr="00B068BF">
        <w:rPr>
          <w:rFonts w:ascii="Times New Roman" w:hAnsi="Times New Roman" w:cs="Times New Roman"/>
          <w:noProof/>
          <w:sz w:val="20"/>
          <w:szCs w:val="20"/>
          <w:lang w:val="hy-AM"/>
        </w:rPr>
        <w:t>.</w:t>
      </w:r>
      <w:r w:rsidRPr="00B068BF">
        <w:rPr>
          <w:rFonts w:ascii="Times New Roman" w:hAnsi="Times New Roman" w:cs="Times New Roman"/>
          <w:noProof/>
          <w:lang w:val="ru-RU"/>
        </w:rPr>
        <w:t xml:space="preserve">   </w:t>
      </w:r>
      <w:r w:rsidRPr="00B068BF">
        <w:rPr>
          <w:rFonts w:ascii="Times New Roman" w:hAnsi="Times New Roman" w:cs="Times New Roman"/>
          <w:noProof/>
          <w:lang w:val="ru-RU" w:eastAsia="ru-RU"/>
        </w:rPr>
        <w:drawing>
          <wp:inline distT="0" distB="0" distL="0" distR="0" wp14:anchorId="0872ACBB" wp14:editId="32594333">
            <wp:extent cx="655453" cy="11654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88479" cy="1224220"/>
                    </a:xfrm>
                    <a:prstGeom prst="rect">
                      <a:avLst/>
                    </a:prstGeom>
                    <a:noFill/>
                    <a:ln>
                      <a:noFill/>
                    </a:ln>
                  </pic:spPr>
                </pic:pic>
              </a:graphicData>
            </a:graphic>
          </wp:inline>
        </w:drawing>
      </w:r>
      <w:r w:rsidRPr="00B068BF">
        <w:rPr>
          <w:rFonts w:ascii="Times New Roman" w:hAnsi="Times New Roman" w:cs="Times New Roman"/>
          <w:noProof/>
          <w:lang w:val="ru-RU"/>
        </w:rPr>
        <w:t xml:space="preserve"> </w:t>
      </w:r>
      <w:r w:rsidRPr="00B068BF">
        <w:rPr>
          <w:rFonts w:ascii="Times New Roman" w:hAnsi="Times New Roman" w:cs="Times New Roman"/>
          <w:noProof/>
          <w:lang w:val="ru-RU" w:eastAsia="ru-RU"/>
        </w:rPr>
        <w:drawing>
          <wp:inline distT="0" distB="0" distL="0" distR="0" wp14:anchorId="2573B706" wp14:editId="63411D32">
            <wp:extent cx="1391478" cy="1156345"/>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414183" cy="1175213"/>
                    </a:xfrm>
                    <a:prstGeom prst="rect">
                      <a:avLst/>
                    </a:prstGeom>
                    <a:noFill/>
                    <a:ln>
                      <a:noFill/>
                    </a:ln>
                  </pic:spPr>
                </pic:pic>
              </a:graphicData>
            </a:graphic>
          </wp:inline>
        </w:drawing>
      </w:r>
      <w:r w:rsidRPr="00B068BF">
        <w:rPr>
          <w:rFonts w:ascii="Times New Roman" w:hAnsi="Times New Roman" w:cs="Times New Roman"/>
          <w:noProof/>
          <w:lang w:val="ru-RU"/>
        </w:rPr>
        <w:t xml:space="preserve">      </w:t>
      </w:r>
      <w:r w:rsidRPr="00B068BF">
        <w:rPr>
          <w:rFonts w:ascii="Times New Roman" w:hAnsi="Times New Roman" w:cs="Times New Roman"/>
          <w:noProof/>
          <w:sz w:val="20"/>
          <w:szCs w:val="20"/>
          <w:lang w:val="ru-RU"/>
        </w:rPr>
        <w:t>2022</w:t>
      </w:r>
      <w:r w:rsidRPr="00B068BF">
        <w:rPr>
          <w:rFonts w:ascii="Times New Roman" w:hAnsi="Times New Roman" w:cs="Times New Roman"/>
          <w:noProof/>
          <w:sz w:val="20"/>
          <w:szCs w:val="20"/>
          <w:lang w:val="hy-AM"/>
        </w:rPr>
        <w:t xml:space="preserve"> г.</w:t>
      </w:r>
      <w:r w:rsidRPr="00B068BF">
        <w:rPr>
          <w:rFonts w:ascii="Times New Roman" w:hAnsi="Times New Roman" w:cs="Times New Roman"/>
          <w:noProof/>
          <w:lang w:val="ru-RU"/>
        </w:rPr>
        <w:t xml:space="preserve">   </w:t>
      </w:r>
      <w:r w:rsidRPr="00B068BF">
        <w:rPr>
          <w:rFonts w:ascii="Times New Roman" w:hAnsi="Times New Roman" w:cs="Times New Roman"/>
          <w:noProof/>
          <w:lang w:val="ru-RU" w:eastAsia="ru-RU"/>
        </w:rPr>
        <w:drawing>
          <wp:inline distT="0" distB="0" distL="0" distR="0" wp14:anchorId="5409F3F6" wp14:editId="1CE0F451">
            <wp:extent cx="612251" cy="1183759"/>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7276" cy="1193474"/>
                    </a:xfrm>
                    <a:prstGeom prst="rect">
                      <a:avLst/>
                    </a:prstGeom>
                    <a:noFill/>
                    <a:ln>
                      <a:noFill/>
                    </a:ln>
                  </pic:spPr>
                </pic:pic>
              </a:graphicData>
            </a:graphic>
          </wp:inline>
        </w:drawing>
      </w:r>
      <w:r w:rsidRPr="00B068BF">
        <w:rPr>
          <w:rFonts w:ascii="Times New Roman" w:hAnsi="Times New Roman" w:cs="Times New Roman"/>
          <w:noProof/>
          <w:lang w:val="ru-RU"/>
        </w:rPr>
        <w:t xml:space="preserve"> </w:t>
      </w:r>
      <w:r w:rsidRPr="00B068BF">
        <w:rPr>
          <w:rFonts w:ascii="Times New Roman" w:hAnsi="Times New Roman" w:cs="Times New Roman"/>
          <w:noProof/>
          <w:lang w:val="ru-RU" w:eastAsia="ru-RU"/>
        </w:rPr>
        <w:drawing>
          <wp:inline distT="0" distB="0" distL="0" distR="0" wp14:anchorId="7D0999FE" wp14:editId="7465ABEB">
            <wp:extent cx="1367624" cy="1183971"/>
            <wp:effectExtent l="0" t="0" r="444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85335" cy="1199304"/>
                    </a:xfrm>
                    <a:prstGeom prst="rect">
                      <a:avLst/>
                    </a:prstGeom>
                    <a:noFill/>
                    <a:ln>
                      <a:noFill/>
                    </a:ln>
                  </pic:spPr>
                </pic:pic>
              </a:graphicData>
            </a:graphic>
          </wp:inline>
        </w:drawing>
      </w:r>
    </w:p>
    <w:p w14:paraId="41B1E748" w14:textId="77777777" w:rsidR="003C6ADB" w:rsidRPr="00B068BF" w:rsidRDefault="003C6ADB" w:rsidP="003C6ADB">
      <w:pPr>
        <w:spacing w:after="0"/>
        <w:jc w:val="both"/>
        <w:rPr>
          <w:rFonts w:ascii="Times New Roman" w:hAnsi="Times New Roman" w:cs="Times New Roman"/>
          <w:noProof/>
          <w:lang w:val="ru-RU"/>
        </w:rPr>
      </w:pPr>
    </w:p>
    <w:p w14:paraId="61029909" w14:textId="77777777" w:rsidR="003C6ADB" w:rsidRPr="00B068BF" w:rsidRDefault="003C6ADB" w:rsidP="003C6ADB">
      <w:pPr>
        <w:autoSpaceDE w:val="0"/>
        <w:autoSpaceDN w:val="0"/>
        <w:adjustRightInd w:val="0"/>
        <w:spacing w:after="0"/>
        <w:ind w:firstLine="450"/>
        <w:jc w:val="both"/>
        <w:rPr>
          <w:rFonts w:ascii="Times New Roman" w:hAnsi="Times New Roman" w:cs="Times New Roman"/>
          <w:noProof/>
          <w:sz w:val="24"/>
          <w:szCs w:val="24"/>
          <w:lang w:val="ru-RU"/>
        </w:rPr>
      </w:pPr>
      <w:r w:rsidRPr="00B068BF">
        <w:rPr>
          <w:rFonts w:ascii="Times New Roman" w:hAnsi="Times New Roman" w:cs="Times New Roman"/>
          <w:noProof/>
          <w:sz w:val="24"/>
          <w:szCs w:val="24"/>
          <w:lang w:val="ru-RU"/>
        </w:rPr>
        <w:t>Были также добавлены защитные элементы с целью усиления защиты оборотной стороны банкноты:</w:t>
      </w:r>
    </w:p>
    <w:p w14:paraId="3BB5CCFB" w14:textId="77777777" w:rsidR="003C6ADB" w:rsidRPr="00B068BF" w:rsidRDefault="003C6ADB" w:rsidP="003C6ADB">
      <w:pPr>
        <w:autoSpaceDE w:val="0"/>
        <w:autoSpaceDN w:val="0"/>
        <w:adjustRightInd w:val="0"/>
        <w:spacing w:after="0"/>
        <w:ind w:firstLine="450"/>
        <w:jc w:val="both"/>
        <w:rPr>
          <w:rFonts w:ascii="Times New Roman" w:eastAsia="Calibri" w:hAnsi="Times New Roman" w:cs="Times New Roman"/>
          <w:sz w:val="24"/>
          <w:szCs w:val="24"/>
          <w:lang w:val="ru-RU"/>
        </w:rPr>
      </w:pPr>
      <w:r w:rsidRPr="00B068BF">
        <w:rPr>
          <w:rFonts w:ascii="Times New Roman" w:hAnsi="Times New Roman" w:cs="Times New Roman"/>
          <w:noProof/>
          <w:sz w:val="24"/>
          <w:szCs w:val="24"/>
          <w:lang w:val="ru-RU"/>
        </w:rPr>
        <w:t xml:space="preserve">- </w:t>
      </w:r>
      <w:r w:rsidRPr="00B068BF">
        <w:rPr>
          <w:rFonts w:ascii="Times New Roman" w:eastAsia="Calibri" w:hAnsi="Times New Roman" w:cs="Times New Roman"/>
          <w:sz w:val="24"/>
          <w:szCs w:val="24"/>
          <w:lang w:val="ru-RU"/>
        </w:rPr>
        <w:t>цифры номинала на оборотной стороне банкноты</w:t>
      </w:r>
      <w:r w:rsidRPr="00B068BF">
        <w:rPr>
          <w:rFonts w:ascii="Times New Roman" w:hAnsi="Times New Roman" w:cs="Times New Roman"/>
          <w:noProof/>
          <w:sz w:val="24"/>
          <w:szCs w:val="24"/>
          <w:lang w:val="ru-RU"/>
        </w:rPr>
        <w:t xml:space="preserve"> выполнены </w:t>
      </w:r>
      <w:r w:rsidRPr="00B068BF">
        <w:rPr>
          <w:rFonts w:ascii="Times New Roman" w:eastAsia="Calibri" w:hAnsi="Times New Roman" w:cs="Times New Roman"/>
          <w:sz w:val="24"/>
          <w:szCs w:val="24"/>
          <w:lang w:val="ru-RU"/>
        </w:rPr>
        <w:t>цветопеременной краской:</w:t>
      </w:r>
    </w:p>
    <w:p w14:paraId="48858370" w14:textId="77777777" w:rsidR="003C6ADB" w:rsidRPr="00B068BF" w:rsidRDefault="003C6ADB" w:rsidP="003C6ADB">
      <w:pPr>
        <w:autoSpaceDE w:val="0"/>
        <w:autoSpaceDN w:val="0"/>
        <w:adjustRightInd w:val="0"/>
        <w:spacing w:after="0"/>
        <w:jc w:val="both"/>
        <w:rPr>
          <w:rFonts w:ascii="Times New Roman" w:eastAsia="Calibri" w:hAnsi="Times New Roman" w:cs="Times New Roman"/>
          <w:b/>
          <w:bCs/>
          <w:lang w:val="ru-RU"/>
        </w:rPr>
      </w:pPr>
      <w:r w:rsidRPr="00B068BF">
        <w:rPr>
          <w:rFonts w:ascii="Times New Roman" w:hAnsi="Times New Roman" w:cs="Times New Roman"/>
          <w:noProof/>
          <w:sz w:val="20"/>
          <w:szCs w:val="20"/>
          <w:lang w:val="ru-RU"/>
        </w:rPr>
        <w:t>2022</w:t>
      </w:r>
      <w:r w:rsidRPr="00B068BF">
        <w:rPr>
          <w:rFonts w:ascii="Times New Roman" w:hAnsi="Times New Roman" w:cs="Times New Roman"/>
          <w:noProof/>
          <w:sz w:val="20"/>
          <w:szCs w:val="20"/>
          <w:lang w:val="hy-AM"/>
        </w:rPr>
        <w:t xml:space="preserve"> г.</w:t>
      </w:r>
      <w:r w:rsidRPr="00B068BF">
        <w:rPr>
          <w:rFonts w:ascii="Times New Roman" w:hAnsi="Times New Roman" w:cs="Times New Roman"/>
          <w:noProof/>
          <w:lang w:val="ru-RU"/>
        </w:rPr>
        <w:t xml:space="preserve"> </w:t>
      </w:r>
      <w:r w:rsidRPr="00B068BF">
        <w:rPr>
          <w:rFonts w:ascii="Times New Roman" w:eastAsia="Calibri" w:hAnsi="Times New Roman" w:cs="Times New Roman"/>
          <w:lang w:val="ru-RU"/>
        </w:rPr>
        <w:t xml:space="preserve">   </w:t>
      </w:r>
      <w:r w:rsidRPr="00B068BF">
        <w:rPr>
          <w:rFonts w:ascii="Times New Roman" w:hAnsi="Times New Roman" w:cs="Times New Roman"/>
          <w:noProof/>
          <w:lang w:val="ru-RU" w:eastAsia="ru-RU"/>
        </w:rPr>
        <w:drawing>
          <wp:inline distT="0" distB="0" distL="0" distR="0" wp14:anchorId="7B813FF1" wp14:editId="287EFE35">
            <wp:extent cx="2480945" cy="1160780"/>
            <wp:effectExtent l="0" t="0" r="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480945" cy="1160780"/>
                    </a:xfrm>
                    <a:prstGeom prst="rect">
                      <a:avLst/>
                    </a:prstGeom>
                    <a:noFill/>
                    <a:ln>
                      <a:noFill/>
                    </a:ln>
                  </pic:spPr>
                </pic:pic>
              </a:graphicData>
            </a:graphic>
          </wp:inline>
        </w:drawing>
      </w:r>
      <w:r w:rsidRPr="00B068BF">
        <w:rPr>
          <w:rFonts w:ascii="Times New Roman" w:eastAsia="Calibri" w:hAnsi="Times New Roman" w:cs="Times New Roman"/>
          <w:lang w:val="ru-RU"/>
        </w:rPr>
        <w:t xml:space="preserve"> </w:t>
      </w:r>
      <w:r w:rsidRPr="00B068BF">
        <w:rPr>
          <w:rFonts w:ascii="Times New Roman" w:hAnsi="Times New Roman" w:cs="Times New Roman"/>
          <w:noProof/>
          <w:lang w:val="ru-RU" w:eastAsia="ru-RU"/>
        </w:rPr>
        <w:drawing>
          <wp:inline distT="0" distB="0" distL="0" distR="0" wp14:anchorId="2AEB0242" wp14:editId="14C27100">
            <wp:extent cx="2377440" cy="1169035"/>
            <wp:effectExtent l="0" t="0" r="381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377440" cy="1169035"/>
                    </a:xfrm>
                    <a:prstGeom prst="rect">
                      <a:avLst/>
                    </a:prstGeom>
                    <a:noFill/>
                    <a:ln>
                      <a:noFill/>
                    </a:ln>
                  </pic:spPr>
                </pic:pic>
              </a:graphicData>
            </a:graphic>
          </wp:inline>
        </w:drawing>
      </w:r>
    </w:p>
    <w:p w14:paraId="451039C0" w14:textId="77777777" w:rsidR="003C6ADB" w:rsidRPr="00B068BF" w:rsidRDefault="003C6ADB" w:rsidP="003C6ADB">
      <w:pPr>
        <w:spacing w:after="0"/>
        <w:ind w:firstLine="720"/>
        <w:jc w:val="both"/>
        <w:rPr>
          <w:rFonts w:ascii="Times New Roman" w:hAnsi="Times New Roman" w:cs="Times New Roman"/>
          <w:noProof/>
          <w:sz w:val="24"/>
          <w:szCs w:val="24"/>
          <w:lang w:val="ru-RU"/>
        </w:rPr>
      </w:pPr>
      <w:r w:rsidRPr="00B068BF">
        <w:rPr>
          <w:rFonts w:ascii="Times New Roman" w:hAnsi="Times New Roman" w:cs="Times New Roman"/>
          <w:noProof/>
          <w:sz w:val="24"/>
          <w:szCs w:val="24"/>
          <w:lang w:val="ru-RU"/>
        </w:rPr>
        <w:t>- добавлены УФ метки на оборотной стороне банкноты:</w:t>
      </w:r>
    </w:p>
    <w:p w14:paraId="1A846154" w14:textId="77777777" w:rsidR="003C6ADB" w:rsidRPr="00B068BF" w:rsidRDefault="003C6ADB" w:rsidP="003C6ADB">
      <w:pPr>
        <w:spacing w:after="0"/>
        <w:jc w:val="both"/>
        <w:rPr>
          <w:rFonts w:ascii="Times New Roman" w:hAnsi="Times New Roman" w:cs="Times New Roman"/>
          <w:noProof/>
          <w:lang w:val="ru-RU"/>
        </w:rPr>
      </w:pPr>
    </w:p>
    <w:p w14:paraId="6396A08A" w14:textId="77777777" w:rsidR="003C6ADB" w:rsidRPr="00B068BF" w:rsidRDefault="003C6ADB" w:rsidP="003C6ADB">
      <w:pPr>
        <w:spacing w:after="0"/>
        <w:jc w:val="both"/>
        <w:rPr>
          <w:rFonts w:ascii="Times New Roman" w:hAnsi="Times New Roman" w:cs="Times New Roman"/>
          <w:noProof/>
          <w:lang w:val="ru-RU"/>
        </w:rPr>
      </w:pPr>
      <w:r w:rsidRPr="00B068BF">
        <w:rPr>
          <w:rFonts w:ascii="Times New Roman" w:hAnsi="Times New Roman" w:cs="Times New Roman"/>
          <w:noProof/>
          <w:sz w:val="20"/>
          <w:szCs w:val="20"/>
          <w:lang w:val="ru-RU"/>
        </w:rPr>
        <w:t xml:space="preserve">2018 </w:t>
      </w:r>
      <w:r w:rsidRPr="00B068BF">
        <w:rPr>
          <w:rFonts w:ascii="Times New Roman" w:hAnsi="Times New Roman" w:cs="Times New Roman"/>
          <w:noProof/>
          <w:sz w:val="20"/>
          <w:szCs w:val="20"/>
          <w:lang w:val="hy-AM"/>
        </w:rPr>
        <w:t>г.</w:t>
      </w:r>
      <w:r w:rsidRPr="00B068BF">
        <w:rPr>
          <w:rFonts w:ascii="Times New Roman" w:hAnsi="Times New Roman" w:cs="Times New Roman"/>
          <w:noProof/>
          <w:lang w:val="hy-AM"/>
        </w:rPr>
        <w:t xml:space="preserve"> </w:t>
      </w:r>
      <w:r w:rsidRPr="00B068BF">
        <w:rPr>
          <w:rFonts w:ascii="Times New Roman" w:hAnsi="Times New Roman" w:cs="Times New Roman"/>
          <w:noProof/>
          <w:lang w:val="ru-RU" w:eastAsia="ru-RU"/>
        </w:rPr>
        <w:drawing>
          <wp:inline distT="0" distB="0" distL="0" distR="0" wp14:anchorId="0275CA5F" wp14:editId="7BE148EB">
            <wp:extent cx="2377440" cy="1306548"/>
            <wp:effectExtent l="0" t="0" r="381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421485" cy="1330754"/>
                    </a:xfrm>
                    <a:prstGeom prst="rect">
                      <a:avLst/>
                    </a:prstGeom>
                    <a:noFill/>
                    <a:ln>
                      <a:noFill/>
                    </a:ln>
                  </pic:spPr>
                </pic:pic>
              </a:graphicData>
            </a:graphic>
          </wp:inline>
        </w:drawing>
      </w:r>
      <w:r w:rsidRPr="00B068BF">
        <w:rPr>
          <w:rFonts w:ascii="Times New Roman" w:hAnsi="Times New Roman" w:cs="Times New Roman"/>
          <w:noProof/>
          <w:lang w:val="ru-RU"/>
        </w:rPr>
        <w:t xml:space="preserve">   </w:t>
      </w:r>
      <w:r w:rsidRPr="00B068BF">
        <w:rPr>
          <w:rFonts w:ascii="Times New Roman" w:hAnsi="Times New Roman" w:cs="Times New Roman"/>
          <w:noProof/>
          <w:sz w:val="20"/>
          <w:szCs w:val="20"/>
          <w:lang w:val="ru-RU"/>
        </w:rPr>
        <w:t>20</w:t>
      </w:r>
      <w:r w:rsidRPr="00B068BF">
        <w:rPr>
          <w:rFonts w:ascii="Times New Roman" w:hAnsi="Times New Roman" w:cs="Times New Roman"/>
          <w:noProof/>
          <w:sz w:val="20"/>
          <w:szCs w:val="20"/>
          <w:lang w:val="hy-AM"/>
        </w:rPr>
        <w:t>22 г.</w:t>
      </w:r>
      <w:r w:rsidRPr="00B068BF">
        <w:rPr>
          <w:rFonts w:ascii="Times New Roman" w:hAnsi="Times New Roman" w:cs="Times New Roman"/>
          <w:noProof/>
          <w:lang w:val="ru-RU"/>
        </w:rPr>
        <w:t xml:space="preserve"> </w:t>
      </w:r>
      <w:r w:rsidRPr="00B068BF">
        <w:rPr>
          <w:rFonts w:ascii="Times New Roman" w:hAnsi="Times New Roman" w:cs="Times New Roman"/>
          <w:noProof/>
          <w:lang w:val="ru-RU" w:eastAsia="ru-RU"/>
        </w:rPr>
        <w:drawing>
          <wp:inline distT="0" distB="0" distL="0" distR="0" wp14:anchorId="0CB7583C" wp14:editId="70C0BFC0">
            <wp:extent cx="2337683" cy="1309724"/>
            <wp:effectExtent l="0" t="0" r="5715"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381801" cy="1334442"/>
                    </a:xfrm>
                    <a:prstGeom prst="rect">
                      <a:avLst/>
                    </a:prstGeom>
                    <a:noFill/>
                    <a:ln>
                      <a:noFill/>
                    </a:ln>
                  </pic:spPr>
                </pic:pic>
              </a:graphicData>
            </a:graphic>
          </wp:inline>
        </w:drawing>
      </w:r>
    </w:p>
    <w:p w14:paraId="2499C3D9" w14:textId="77777777" w:rsidR="003C6ADB" w:rsidRPr="00B068BF" w:rsidRDefault="003C6ADB" w:rsidP="003C6ADB">
      <w:pPr>
        <w:spacing w:after="0"/>
        <w:jc w:val="both"/>
        <w:rPr>
          <w:rFonts w:ascii="Times New Roman" w:hAnsi="Times New Roman" w:cs="Times New Roman"/>
          <w:noProof/>
          <w:lang w:val="ru-RU"/>
        </w:rPr>
      </w:pPr>
    </w:p>
    <w:p w14:paraId="39FB1D05" w14:textId="77777777" w:rsidR="00A7203D" w:rsidRPr="00B068BF" w:rsidRDefault="00A7203D" w:rsidP="00D6459F">
      <w:pPr>
        <w:tabs>
          <w:tab w:val="left" w:pos="851"/>
        </w:tabs>
        <w:spacing w:after="0" w:line="240" w:lineRule="auto"/>
        <w:ind w:firstLine="360"/>
        <w:jc w:val="both"/>
        <w:rPr>
          <w:rFonts w:ascii="Times New Roman" w:hAnsi="Times New Roman" w:cs="Times New Roman"/>
          <w:b/>
          <w:sz w:val="24"/>
          <w:szCs w:val="24"/>
          <w:lang w:val="ru-RU"/>
        </w:rPr>
      </w:pPr>
      <w:r w:rsidRPr="00B068BF">
        <w:rPr>
          <w:rFonts w:ascii="Times New Roman" w:hAnsi="Times New Roman" w:cs="Times New Roman"/>
          <w:b/>
          <w:sz w:val="24"/>
          <w:szCs w:val="24"/>
          <w:lang w:val="ru-RU"/>
        </w:rPr>
        <w:t xml:space="preserve">2. Национальный банк </w:t>
      </w:r>
      <w:r w:rsidR="00D6459F" w:rsidRPr="00B068BF">
        <w:rPr>
          <w:rFonts w:ascii="Times New Roman" w:hAnsi="Times New Roman" w:cs="Times New Roman"/>
          <w:b/>
          <w:sz w:val="24"/>
          <w:szCs w:val="24"/>
          <w:lang w:val="ru-RU"/>
        </w:rPr>
        <w:t xml:space="preserve">Республики </w:t>
      </w:r>
      <w:r w:rsidRPr="00B068BF">
        <w:rPr>
          <w:rFonts w:ascii="Times New Roman" w:hAnsi="Times New Roman" w:cs="Times New Roman"/>
          <w:b/>
          <w:sz w:val="24"/>
          <w:szCs w:val="24"/>
          <w:lang w:val="ru-RU"/>
        </w:rPr>
        <w:t>Беларус</w:t>
      </w:r>
      <w:r w:rsidR="00D6459F" w:rsidRPr="00B068BF">
        <w:rPr>
          <w:rFonts w:ascii="Times New Roman" w:hAnsi="Times New Roman" w:cs="Times New Roman"/>
          <w:b/>
          <w:sz w:val="24"/>
          <w:szCs w:val="24"/>
          <w:lang w:val="ru-RU"/>
        </w:rPr>
        <w:t>ь</w:t>
      </w:r>
    </w:p>
    <w:p w14:paraId="719523B4" w14:textId="77777777" w:rsidR="00E15D31" w:rsidRPr="00B068BF" w:rsidRDefault="002750B6" w:rsidP="00E15D31">
      <w:pPr>
        <w:spacing w:after="0" w:line="240" w:lineRule="auto"/>
        <w:ind w:firstLine="27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 xml:space="preserve">Новая банкнота Республики Беларусь номиналом 100 рублей продолжила серию ранее обновленных банкнот номиналом 5, 10, 20 и 50 рублей, выпущенных в обращение в 2019-2020 гг. Дизайн новой банкноты концептуально схож с ранее выпущенной в обращение сторублевой банкнотой и сохраняет преемственность единого стиля обновления банкнот. </w:t>
      </w:r>
      <w:r w:rsidR="00E15D31" w:rsidRPr="00B068BF">
        <w:rPr>
          <w:rFonts w:ascii="Times New Roman" w:hAnsi="Times New Roman" w:cs="Times New Roman"/>
          <w:sz w:val="24"/>
          <w:szCs w:val="24"/>
          <w:lang w:val="ru-RU"/>
        </w:rPr>
        <w:t xml:space="preserve">  </w:t>
      </w:r>
    </w:p>
    <w:p w14:paraId="018796E6" w14:textId="77777777" w:rsidR="002750B6" w:rsidRPr="00B068BF" w:rsidRDefault="002750B6" w:rsidP="00E15D31">
      <w:pPr>
        <w:spacing w:after="0" w:line="240" w:lineRule="auto"/>
        <w:ind w:firstLine="27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lastRenderedPageBreak/>
        <w:t xml:space="preserve">Защитный комплекс новой банкноты разработан на основе защитного комплекса находящейся в обращении сторублевой банкноты с включением в него новых защитных элементов (оптически переменная магнитная краска </w:t>
      </w:r>
      <w:r w:rsidRPr="00B068BF">
        <w:rPr>
          <w:rFonts w:ascii="Times New Roman" w:hAnsi="Times New Roman" w:cs="Times New Roman"/>
          <w:sz w:val="24"/>
          <w:szCs w:val="24"/>
        </w:rPr>
        <w:t>OVMI</w:t>
      </w:r>
      <w:r w:rsidRPr="00B068BF">
        <w:rPr>
          <w:rFonts w:ascii="Times New Roman" w:hAnsi="Times New Roman" w:cs="Times New Roman"/>
          <w:sz w:val="24"/>
          <w:szCs w:val="24"/>
          <w:lang w:val="ru-RU"/>
        </w:rPr>
        <w:t xml:space="preserve">® для </w:t>
      </w:r>
      <w:r w:rsidRPr="00B068BF">
        <w:rPr>
          <w:rFonts w:ascii="Times New Roman" w:hAnsi="Times New Roman" w:cs="Times New Roman"/>
          <w:sz w:val="24"/>
          <w:szCs w:val="24"/>
        </w:rPr>
        <w:t>Spark</w:t>
      </w:r>
      <w:r w:rsidRPr="00B068BF">
        <w:rPr>
          <w:rFonts w:ascii="Times New Roman" w:hAnsi="Times New Roman" w:cs="Times New Roman"/>
          <w:sz w:val="24"/>
          <w:szCs w:val="24"/>
          <w:lang w:val="ru-RU"/>
        </w:rPr>
        <w:t>®</w:t>
      </w:r>
      <w:r w:rsidRPr="00B068BF">
        <w:rPr>
          <w:rFonts w:ascii="Times New Roman" w:hAnsi="Times New Roman" w:cs="Times New Roman"/>
          <w:sz w:val="24"/>
          <w:szCs w:val="24"/>
        </w:rPr>
        <w:t>Live</w:t>
      </w:r>
      <w:r w:rsidRPr="00B068BF">
        <w:rPr>
          <w:rFonts w:ascii="Times New Roman" w:hAnsi="Times New Roman" w:cs="Times New Roman"/>
          <w:sz w:val="24"/>
          <w:szCs w:val="24"/>
          <w:lang w:val="ru-RU"/>
        </w:rPr>
        <w:t xml:space="preserve"> с защитным эффектом </w:t>
      </w:r>
      <w:r w:rsidRPr="00B068BF">
        <w:rPr>
          <w:rFonts w:ascii="Times New Roman" w:hAnsi="Times New Roman" w:cs="Times New Roman"/>
          <w:sz w:val="24"/>
          <w:szCs w:val="24"/>
        </w:rPr>
        <w:t>Sandune</w:t>
      </w:r>
      <w:r w:rsidRPr="00B068BF">
        <w:rPr>
          <w:rFonts w:ascii="Times New Roman" w:hAnsi="Times New Roman" w:cs="Times New Roman"/>
          <w:sz w:val="24"/>
          <w:szCs w:val="24"/>
          <w:lang w:val="ru-RU"/>
        </w:rPr>
        <w:t xml:space="preserve"> ”</w:t>
      </w:r>
      <w:r w:rsidRPr="00B068BF">
        <w:rPr>
          <w:rFonts w:ascii="Times New Roman" w:hAnsi="Times New Roman" w:cs="Times New Roman"/>
          <w:sz w:val="24"/>
          <w:szCs w:val="24"/>
        </w:rPr>
        <w:t>Drops</w:t>
      </w:r>
      <w:r w:rsidRPr="00B068BF">
        <w:rPr>
          <w:rFonts w:ascii="Times New Roman" w:hAnsi="Times New Roman" w:cs="Times New Roman"/>
          <w:sz w:val="24"/>
          <w:szCs w:val="24"/>
          <w:lang w:val="ru-RU"/>
        </w:rPr>
        <w:t xml:space="preserve">“; защитная нить разработки АО ”Гознак“, введенная в бумагу по технологии </w:t>
      </w:r>
      <w:r w:rsidRPr="00B068BF">
        <w:rPr>
          <w:rFonts w:ascii="Times New Roman" w:hAnsi="Times New Roman" w:cs="Times New Roman"/>
          <w:sz w:val="24"/>
          <w:szCs w:val="24"/>
        </w:rPr>
        <w:t>VFI</w:t>
      </w:r>
      <w:r w:rsidRPr="00B068BF">
        <w:rPr>
          <w:rFonts w:ascii="Times New Roman" w:hAnsi="Times New Roman" w:cs="Times New Roman"/>
          <w:sz w:val="24"/>
          <w:szCs w:val="24"/>
          <w:lang w:val="ru-RU"/>
        </w:rPr>
        <w:t>, с визуальными защитными признаками ”</w:t>
      </w:r>
      <w:r w:rsidRPr="00B068BF">
        <w:rPr>
          <w:rFonts w:ascii="Times New Roman" w:hAnsi="Times New Roman" w:cs="Times New Roman"/>
          <w:sz w:val="24"/>
          <w:szCs w:val="24"/>
        </w:rPr>
        <w:t>Mobile</w:t>
      </w:r>
      <w:r w:rsidRPr="00B068BF">
        <w:rPr>
          <w:rFonts w:ascii="Times New Roman" w:hAnsi="Times New Roman" w:cs="Times New Roman"/>
          <w:sz w:val="24"/>
          <w:szCs w:val="24"/>
          <w:lang w:val="ru-RU"/>
        </w:rPr>
        <w:t>“, ”Барельеф“, ”Второй канал“, деметаллизация), заменой отдельных защитных элементов их улучшенными модификациями, а также исключением отдельных защитных элементов как устаревших.</w:t>
      </w:r>
    </w:p>
    <w:p w14:paraId="49B49540" w14:textId="77777777" w:rsidR="002750B6" w:rsidRPr="00B068BF" w:rsidRDefault="002750B6" w:rsidP="00E15D31">
      <w:pPr>
        <w:spacing w:after="0" w:line="240" w:lineRule="auto"/>
        <w:ind w:firstLine="27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Обновленный защитный комплекс обеспечивает надежную защиту банкнот от подделки при одновременной возможности более легкой, быстрой и безошибочной проверки их подлинности гражданами.</w:t>
      </w:r>
    </w:p>
    <w:p w14:paraId="2FCE8BB9" w14:textId="77777777" w:rsidR="002750B6" w:rsidRPr="00B068BF" w:rsidRDefault="002750B6" w:rsidP="002750B6">
      <w:pPr>
        <w:spacing w:after="0" w:line="240" w:lineRule="auto"/>
        <w:ind w:firstLine="36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Изготовителем новой сторублевой банкноты является акционерное общество «Гознак» (Российская Федерация).</w:t>
      </w:r>
    </w:p>
    <w:p w14:paraId="21D3047C" w14:textId="77777777" w:rsidR="00A7203D" w:rsidRPr="00B068BF" w:rsidRDefault="00A7203D" w:rsidP="00D6459F">
      <w:pPr>
        <w:tabs>
          <w:tab w:val="left" w:pos="851"/>
        </w:tabs>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 xml:space="preserve">    </w:t>
      </w:r>
    </w:p>
    <w:p w14:paraId="375FDF71" w14:textId="77777777" w:rsidR="006B6573" w:rsidRPr="00B068BF" w:rsidRDefault="009B0614" w:rsidP="009B0614">
      <w:pPr>
        <w:tabs>
          <w:tab w:val="left" w:pos="851"/>
        </w:tabs>
        <w:spacing w:after="0" w:line="240" w:lineRule="auto"/>
        <w:ind w:firstLine="360"/>
        <w:jc w:val="both"/>
        <w:rPr>
          <w:rFonts w:ascii="Times New Roman" w:hAnsi="Times New Roman" w:cs="Times New Roman"/>
          <w:b/>
          <w:sz w:val="24"/>
          <w:szCs w:val="24"/>
          <w:lang w:val="ru-RU"/>
        </w:rPr>
      </w:pPr>
      <w:r w:rsidRPr="00B068BF">
        <w:rPr>
          <w:rFonts w:ascii="Times New Roman" w:hAnsi="Times New Roman" w:cs="Times New Roman"/>
          <w:b/>
          <w:sz w:val="24"/>
          <w:szCs w:val="24"/>
          <w:lang w:val="ru-RU"/>
        </w:rPr>
        <w:t xml:space="preserve">3. </w:t>
      </w:r>
      <w:r w:rsidR="006B6573" w:rsidRPr="00B068BF">
        <w:rPr>
          <w:rFonts w:ascii="Times New Roman" w:hAnsi="Times New Roman" w:cs="Times New Roman"/>
          <w:b/>
          <w:sz w:val="24"/>
          <w:szCs w:val="24"/>
          <w:lang w:val="ru-RU"/>
        </w:rPr>
        <w:t>Национальный банк Республики Казахстан</w:t>
      </w:r>
    </w:p>
    <w:p w14:paraId="740BB615" w14:textId="77777777" w:rsidR="003C6ADB" w:rsidRPr="00B068BF" w:rsidRDefault="003C6ADB" w:rsidP="003C6ADB">
      <w:pPr>
        <w:tabs>
          <w:tab w:val="left" w:pos="360"/>
        </w:tabs>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ab/>
        <w:t xml:space="preserve">Национальный </w:t>
      </w:r>
      <w:r w:rsidR="00E15D31" w:rsidRPr="00B068BF">
        <w:rPr>
          <w:rFonts w:ascii="Times New Roman" w:hAnsi="Times New Roman" w:cs="Times New Roman"/>
          <w:sz w:val="24"/>
          <w:szCs w:val="24"/>
          <w:lang w:val="ru-RU"/>
        </w:rPr>
        <w:t>б</w:t>
      </w:r>
      <w:r w:rsidRPr="00B068BF">
        <w:rPr>
          <w:rFonts w:ascii="Times New Roman" w:hAnsi="Times New Roman" w:cs="Times New Roman"/>
          <w:sz w:val="24"/>
          <w:szCs w:val="24"/>
          <w:lang w:val="ru-RU"/>
        </w:rPr>
        <w:t>анк</w:t>
      </w:r>
      <w:r w:rsidR="00E15D31" w:rsidRPr="00B068BF">
        <w:rPr>
          <w:rFonts w:ascii="Times New Roman" w:hAnsi="Times New Roman" w:cs="Times New Roman"/>
          <w:sz w:val="24"/>
          <w:szCs w:val="24"/>
          <w:lang w:val="ru-RU"/>
        </w:rPr>
        <w:t xml:space="preserve"> Республики Казахстан</w:t>
      </w:r>
      <w:r w:rsidRPr="00B068BF">
        <w:rPr>
          <w:rFonts w:ascii="Times New Roman" w:hAnsi="Times New Roman" w:cs="Times New Roman"/>
          <w:sz w:val="24"/>
          <w:szCs w:val="24"/>
          <w:lang w:val="ru-RU"/>
        </w:rPr>
        <w:t xml:space="preserve"> 1 октября 2022 года выпустил в обращение банкноту номиналом 20000 тенге. </w:t>
      </w:r>
      <w:r w:rsidR="00E15D31" w:rsidRPr="00B068BF">
        <w:rPr>
          <w:rFonts w:ascii="Times New Roman" w:hAnsi="Times New Roman" w:cs="Times New Roman"/>
          <w:sz w:val="24"/>
          <w:szCs w:val="24"/>
          <w:lang w:val="ru-RU"/>
        </w:rPr>
        <w:t>Новая б</w:t>
      </w:r>
      <w:r w:rsidRPr="00B068BF">
        <w:rPr>
          <w:rFonts w:ascii="Times New Roman" w:hAnsi="Times New Roman" w:cs="Times New Roman"/>
          <w:sz w:val="24"/>
          <w:szCs w:val="24"/>
          <w:lang w:val="ru-RU"/>
        </w:rPr>
        <w:t>анкнота дополнила действующий ряд циркуляционных банкнот национальной валюты серии «Қазақ Елі», который в настоящее время представлен номиналами 500, 1000, 2000, 5000, 10000 тенге.</w:t>
      </w:r>
    </w:p>
    <w:p w14:paraId="00554123" w14:textId="77777777" w:rsidR="008001B9" w:rsidRPr="00B068BF" w:rsidRDefault="008001B9" w:rsidP="003C6ADB">
      <w:pPr>
        <w:tabs>
          <w:tab w:val="left" w:pos="360"/>
        </w:tabs>
        <w:spacing w:after="0" w:line="240" w:lineRule="auto"/>
        <w:jc w:val="both"/>
        <w:rPr>
          <w:rFonts w:ascii="Times New Roman" w:hAnsi="Times New Roman" w:cs="Times New Roman"/>
          <w:sz w:val="24"/>
          <w:szCs w:val="24"/>
          <w:lang w:val="ru-RU"/>
        </w:rPr>
      </w:pPr>
    </w:p>
    <w:p w14:paraId="61B098C8" w14:textId="77777777" w:rsidR="008001B9" w:rsidRPr="00B068BF" w:rsidRDefault="008001B9" w:rsidP="008001B9">
      <w:pPr>
        <w:tabs>
          <w:tab w:val="left" w:pos="360"/>
        </w:tabs>
        <w:spacing w:after="0" w:line="240" w:lineRule="auto"/>
        <w:jc w:val="center"/>
        <w:rPr>
          <w:rFonts w:ascii="Times New Roman" w:hAnsi="Times New Roman" w:cs="Times New Roman"/>
          <w:sz w:val="24"/>
          <w:szCs w:val="24"/>
          <w:lang w:val="ru-RU"/>
        </w:rPr>
      </w:pPr>
      <w:r w:rsidRPr="00B068BF">
        <w:rPr>
          <w:rFonts w:ascii="Times New Roman" w:hAnsi="Times New Roman" w:cs="Times New Roman"/>
          <w:sz w:val="24"/>
          <w:szCs w:val="24"/>
          <w:lang w:val="ru-RU"/>
        </w:rPr>
        <w:t>20 000 тенге образца 2022 года</w:t>
      </w:r>
    </w:p>
    <w:p w14:paraId="4EE20BEB" w14:textId="77777777" w:rsidR="008001B9" w:rsidRPr="00B068BF" w:rsidRDefault="008001B9" w:rsidP="003C6ADB">
      <w:pPr>
        <w:tabs>
          <w:tab w:val="left" w:pos="360"/>
        </w:tabs>
        <w:spacing w:after="0" w:line="240" w:lineRule="auto"/>
        <w:jc w:val="both"/>
        <w:rPr>
          <w:rFonts w:ascii="Times New Roman" w:hAnsi="Times New Roman" w:cs="Times New Roman"/>
          <w:lang w:val="ru-RU"/>
        </w:rPr>
      </w:pPr>
    </w:p>
    <w:p w14:paraId="50F027BD" w14:textId="77777777" w:rsidR="008001B9" w:rsidRPr="00B068BF" w:rsidRDefault="00E62240" w:rsidP="008001B9">
      <w:pPr>
        <w:tabs>
          <w:tab w:val="left" w:pos="360"/>
        </w:tabs>
        <w:spacing w:after="0" w:line="240" w:lineRule="auto"/>
        <w:jc w:val="center"/>
        <w:rPr>
          <w:rFonts w:ascii="Times New Roman" w:hAnsi="Times New Roman" w:cs="Times New Roman"/>
          <w:lang w:val="ru-RU"/>
        </w:rPr>
      </w:pPr>
      <w:r w:rsidRPr="00B068BF">
        <w:rPr>
          <w:rFonts w:ascii="Times New Roman" w:hAnsi="Times New Roman" w:cs="Times New Roman"/>
          <w:noProof/>
          <w:lang w:val="ru-RU" w:eastAsia="ru-RU"/>
        </w:rPr>
        <w:drawing>
          <wp:inline distT="0" distB="0" distL="0" distR="0" wp14:anchorId="2D890D4E" wp14:editId="7DD03A2E">
            <wp:extent cx="2857500" cy="1455681"/>
            <wp:effectExtent l="0" t="0" r="0" b="0"/>
            <wp:docPr id="37" name="Рисунок 37" descr="U:\Гульназ\202211091030594973\2022110910302767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Гульназ\202211091030594973\202211091030276785.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80220" cy="1467255"/>
                    </a:xfrm>
                    <a:prstGeom prst="rect">
                      <a:avLst/>
                    </a:prstGeom>
                    <a:noFill/>
                    <a:ln>
                      <a:noFill/>
                    </a:ln>
                  </pic:spPr>
                </pic:pic>
              </a:graphicData>
            </a:graphic>
          </wp:inline>
        </w:drawing>
      </w:r>
    </w:p>
    <w:p w14:paraId="283150AF" w14:textId="77777777" w:rsidR="008001B9" w:rsidRPr="00B068BF" w:rsidRDefault="008001B9" w:rsidP="008001B9">
      <w:pPr>
        <w:tabs>
          <w:tab w:val="left" w:pos="360"/>
        </w:tabs>
        <w:spacing w:after="0" w:line="240" w:lineRule="auto"/>
        <w:jc w:val="center"/>
        <w:rPr>
          <w:rFonts w:ascii="Times New Roman" w:hAnsi="Times New Roman" w:cs="Times New Roman"/>
          <w:lang w:val="ru-RU"/>
        </w:rPr>
      </w:pPr>
    </w:p>
    <w:p w14:paraId="06F106F2" w14:textId="77777777" w:rsidR="008001B9" w:rsidRPr="00B068BF" w:rsidRDefault="008001B9" w:rsidP="008001B9">
      <w:pPr>
        <w:tabs>
          <w:tab w:val="left" w:pos="360"/>
        </w:tabs>
        <w:spacing w:after="0" w:line="240" w:lineRule="auto"/>
        <w:jc w:val="center"/>
        <w:rPr>
          <w:rFonts w:ascii="Times New Roman" w:hAnsi="Times New Roman" w:cs="Times New Roman"/>
          <w:lang w:val="ru-RU"/>
        </w:rPr>
      </w:pPr>
      <w:r w:rsidRPr="00B068BF">
        <w:rPr>
          <w:rFonts w:ascii="Times New Roman" w:hAnsi="Times New Roman" w:cs="Times New Roman"/>
          <w:noProof/>
          <w:lang w:val="ru-RU" w:eastAsia="ru-RU"/>
        </w:rPr>
        <w:drawing>
          <wp:inline distT="0" distB="0" distL="0" distR="0" wp14:anchorId="3854F68A" wp14:editId="2E82E17A">
            <wp:extent cx="2827655" cy="1457178"/>
            <wp:effectExtent l="0" t="0" r="0" b="0"/>
            <wp:docPr id="36" name="Рисунок 36" descr="U:\Гульназ\202211091030594973\2022110910302767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Гульназ\202211091030594973\202211091030276754.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36930" cy="1461958"/>
                    </a:xfrm>
                    <a:prstGeom prst="rect">
                      <a:avLst/>
                    </a:prstGeom>
                    <a:noFill/>
                    <a:ln>
                      <a:noFill/>
                    </a:ln>
                  </pic:spPr>
                </pic:pic>
              </a:graphicData>
            </a:graphic>
          </wp:inline>
        </w:drawing>
      </w:r>
    </w:p>
    <w:p w14:paraId="67A41C52" w14:textId="77777777" w:rsidR="008001B9" w:rsidRPr="00B068BF" w:rsidRDefault="008001B9" w:rsidP="008001B9">
      <w:pPr>
        <w:tabs>
          <w:tab w:val="left" w:pos="360"/>
        </w:tabs>
        <w:spacing w:after="0" w:line="240" w:lineRule="auto"/>
        <w:jc w:val="center"/>
        <w:rPr>
          <w:rFonts w:ascii="Times New Roman" w:hAnsi="Times New Roman" w:cs="Times New Roman"/>
          <w:lang w:val="ru-RU"/>
        </w:rPr>
      </w:pPr>
    </w:p>
    <w:p w14:paraId="1DDF6EA7" w14:textId="77777777" w:rsidR="003C6ADB" w:rsidRPr="00B068BF" w:rsidRDefault="003C6ADB" w:rsidP="003C6ADB">
      <w:pPr>
        <w:tabs>
          <w:tab w:val="left" w:pos="270"/>
        </w:tabs>
        <w:spacing w:after="0" w:line="240" w:lineRule="auto"/>
        <w:jc w:val="both"/>
        <w:rPr>
          <w:rFonts w:ascii="Times New Roman" w:hAnsi="Times New Roman" w:cs="Times New Roman"/>
          <w:sz w:val="24"/>
          <w:szCs w:val="24"/>
          <w:lang w:val="ru-RU"/>
        </w:rPr>
      </w:pPr>
      <w:r w:rsidRPr="00B068BF">
        <w:rPr>
          <w:rFonts w:ascii="Times New Roman" w:hAnsi="Times New Roman" w:cs="Times New Roman"/>
          <w:lang w:val="ru-RU"/>
        </w:rPr>
        <w:tab/>
      </w:r>
      <w:r w:rsidRPr="00B068BF">
        <w:rPr>
          <w:rFonts w:ascii="Times New Roman" w:hAnsi="Times New Roman" w:cs="Times New Roman"/>
          <w:sz w:val="24"/>
          <w:szCs w:val="24"/>
          <w:lang w:val="ru-RU"/>
        </w:rPr>
        <w:t>Образцы и буклеты с описанием защитных элементов вышеуказанной банкноты направлены центральным (национальным) банкам – участникам Евразийского совета центральных (национальных) банков.</w:t>
      </w:r>
    </w:p>
    <w:p w14:paraId="1FA4AF9F" w14:textId="77777777" w:rsidR="00D6401B" w:rsidRPr="00B068BF" w:rsidRDefault="00D6401B" w:rsidP="00D6459F">
      <w:pPr>
        <w:tabs>
          <w:tab w:val="left" w:pos="851"/>
        </w:tabs>
        <w:spacing w:after="0" w:line="240" w:lineRule="auto"/>
        <w:jc w:val="both"/>
        <w:rPr>
          <w:rFonts w:ascii="Times New Roman" w:hAnsi="Times New Roman" w:cs="Times New Roman"/>
          <w:sz w:val="24"/>
          <w:szCs w:val="24"/>
          <w:lang w:val="ru-RU"/>
        </w:rPr>
      </w:pPr>
    </w:p>
    <w:p w14:paraId="0BF22E06" w14:textId="77777777" w:rsidR="006B6573" w:rsidRPr="00B068BF" w:rsidRDefault="00D6459F" w:rsidP="009B0614">
      <w:pPr>
        <w:pStyle w:val="a3"/>
        <w:numPr>
          <w:ilvl w:val="0"/>
          <w:numId w:val="13"/>
        </w:numPr>
        <w:tabs>
          <w:tab w:val="left" w:pos="851"/>
        </w:tabs>
        <w:spacing w:after="0" w:line="240" w:lineRule="auto"/>
        <w:jc w:val="both"/>
        <w:rPr>
          <w:rFonts w:ascii="Times New Roman" w:hAnsi="Times New Roman" w:cs="Times New Roman"/>
          <w:b/>
          <w:sz w:val="24"/>
          <w:szCs w:val="24"/>
          <w:lang w:val="ru-RU"/>
        </w:rPr>
      </w:pPr>
      <w:r w:rsidRPr="00B068BF">
        <w:rPr>
          <w:rFonts w:ascii="Times New Roman" w:hAnsi="Times New Roman" w:cs="Times New Roman"/>
          <w:b/>
          <w:sz w:val="24"/>
          <w:szCs w:val="24"/>
          <w:lang w:val="ru-RU"/>
        </w:rPr>
        <w:t>Национальный банк Республики Кыргызстан</w:t>
      </w:r>
    </w:p>
    <w:p w14:paraId="64DC45B0" w14:textId="77777777" w:rsidR="007A7ED2" w:rsidRPr="00B068BF" w:rsidRDefault="007A7ED2" w:rsidP="007A7ED2">
      <w:pPr>
        <w:tabs>
          <w:tab w:val="left" w:pos="709"/>
        </w:tabs>
        <w:spacing w:after="0" w:line="240" w:lineRule="auto"/>
        <w:ind w:firstLine="36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В 2022 году новые банкноты в обращение не вводились.</w:t>
      </w:r>
    </w:p>
    <w:p w14:paraId="716A62E7" w14:textId="77777777" w:rsidR="000F3E40" w:rsidRPr="00B068BF" w:rsidRDefault="0090165A" w:rsidP="007A7ED2">
      <w:pPr>
        <w:tabs>
          <w:tab w:val="left" w:pos="851"/>
        </w:tabs>
        <w:spacing w:after="0" w:line="240" w:lineRule="auto"/>
        <w:jc w:val="both"/>
        <w:rPr>
          <w:rFonts w:ascii="Times New Roman" w:hAnsi="Times New Roman" w:cs="Times New Roman"/>
          <w:b/>
          <w:sz w:val="24"/>
          <w:szCs w:val="24"/>
          <w:lang w:val="ru-RU"/>
        </w:rPr>
      </w:pPr>
      <w:r w:rsidRPr="00B068BF">
        <w:rPr>
          <w:rFonts w:ascii="Times New Roman" w:hAnsi="Times New Roman" w:cs="Times New Roman"/>
          <w:b/>
          <w:sz w:val="24"/>
          <w:szCs w:val="24"/>
          <w:lang w:val="ru-RU"/>
        </w:rPr>
        <w:t xml:space="preserve">   </w:t>
      </w:r>
    </w:p>
    <w:p w14:paraId="19611C53" w14:textId="77777777" w:rsidR="0090165A" w:rsidRPr="00B068BF" w:rsidRDefault="000F3E40" w:rsidP="000F3E40">
      <w:pPr>
        <w:tabs>
          <w:tab w:val="left" w:pos="851"/>
        </w:tabs>
        <w:spacing w:after="0" w:line="240" w:lineRule="auto"/>
        <w:ind w:firstLine="360"/>
        <w:jc w:val="both"/>
        <w:rPr>
          <w:rFonts w:ascii="Times New Roman" w:hAnsi="Times New Roman" w:cs="Times New Roman"/>
          <w:b/>
          <w:sz w:val="24"/>
          <w:szCs w:val="24"/>
          <w:lang w:val="ru-RU"/>
        </w:rPr>
      </w:pPr>
      <w:r w:rsidRPr="00B068BF">
        <w:rPr>
          <w:rFonts w:ascii="Times New Roman" w:hAnsi="Times New Roman" w:cs="Times New Roman"/>
          <w:b/>
          <w:sz w:val="24"/>
          <w:szCs w:val="24"/>
          <w:lang w:val="hy-AM"/>
        </w:rPr>
        <w:t>5</w:t>
      </w:r>
      <w:r w:rsidR="0090165A" w:rsidRPr="00B068BF">
        <w:rPr>
          <w:rFonts w:ascii="Times New Roman" w:hAnsi="Times New Roman" w:cs="Times New Roman"/>
          <w:b/>
          <w:sz w:val="24"/>
          <w:szCs w:val="24"/>
          <w:lang w:val="ru-RU"/>
        </w:rPr>
        <w:t>. Центральный банк Российской Федерации</w:t>
      </w:r>
    </w:p>
    <w:p w14:paraId="3D885EEA" w14:textId="77777777" w:rsidR="002750B6" w:rsidRPr="00B068BF" w:rsidRDefault="002750B6" w:rsidP="009C0566">
      <w:pPr>
        <w:pStyle w:val="aa"/>
        <w:spacing w:after="0" w:line="240" w:lineRule="auto"/>
        <w:ind w:left="0" w:firstLine="36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Модернизированная банкнота номиналом 100 рублей выпуска 2022</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года (</w:t>
      </w:r>
      <w:r w:rsidR="009C0566" w:rsidRPr="00B068BF">
        <w:rPr>
          <w:rFonts w:ascii="Times New Roman" w:hAnsi="Times New Roman" w:cs="Times New Roman"/>
          <w:sz w:val="24"/>
          <w:szCs w:val="24"/>
          <w:lang w:val="ru-RU"/>
        </w:rPr>
        <w:t>р</w:t>
      </w:r>
      <w:r w:rsidRPr="00B068BF">
        <w:rPr>
          <w:rFonts w:ascii="Times New Roman" w:hAnsi="Times New Roman" w:cs="Times New Roman"/>
          <w:sz w:val="24"/>
          <w:szCs w:val="24"/>
          <w:lang w:val="ru-RU"/>
        </w:rPr>
        <w:t xml:space="preserve">исунок 1) содержит усовершенствованный защитный комплекс, в том числе: </w:t>
      </w:r>
    </w:p>
    <w:p w14:paraId="33AE0AC7" w14:textId="77777777" w:rsidR="002750B6" w:rsidRPr="00B068BF" w:rsidRDefault="002750B6" w:rsidP="002750B6">
      <w:pPr>
        <w:pStyle w:val="aa"/>
        <w:numPr>
          <w:ilvl w:val="0"/>
          <w:numId w:val="18"/>
        </w:numPr>
        <w:spacing w:after="0" w:line="240" w:lineRule="auto"/>
        <w:ind w:left="709" w:hanging="709"/>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lastRenderedPageBreak/>
        <w:t>Защитная голографическая нить обладает кинетическим эффектом; содержит цветные изображения символа рубля, наблюдаемые под определенным углом; изображения числа «100», выполненные микродеметаллизацией и наблюдаемые на просвет.</w:t>
      </w:r>
    </w:p>
    <w:p w14:paraId="36E050FB" w14:textId="77777777" w:rsidR="002750B6" w:rsidRPr="00B068BF" w:rsidRDefault="002750B6" w:rsidP="002750B6">
      <w:pPr>
        <w:pStyle w:val="aa"/>
        <w:numPr>
          <w:ilvl w:val="0"/>
          <w:numId w:val="18"/>
        </w:numPr>
        <w:spacing w:after="0" w:line="240" w:lineRule="auto"/>
        <w:ind w:left="709" w:hanging="709"/>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Цветопеременный защитный элемент. На однотонном поле, содержащем слово «РОССИЯ», при наблюдении под острым углом к поверхности банкноты появляется число «100», каждая цифра которого имеет свою окраску. При повороте банкноты на 180º (без изменения угла зрения) окраска каждой цифры меняется.</w:t>
      </w:r>
    </w:p>
    <w:p w14:paraId="568F7B1C" w14:textId="77777777" w:rsidR="002750B6" w:rsidRPr="00B068BF" w:rsidRDefault="002750B6" w:rsidP="002750B6">
      <w:pPr>
        <w:pStyle w:val="aa"/>
        <w:numPr>
          <w:ilvl w:val="0"/>
          <w:numId w:val="18"/>
        </w:numPr>
        <w:spacing w:after="0" w:line="240" w:lineRule="auto"/>
        <w:ind w:left="709" w:hanging="709"/>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Водяной знак. К многотоновому водяному знаку, выполненному с плавными переходами от светлых участков к темным, примыкает высокосветлое число «100» с контрастными темными фрагментами.</w:t>
      </w:r>
    </w:p>
    <w:p w14:paraId="1C2B9650" w14:textId="77777777" w:rsidR="00AE2FCB" w:rsidRPr="00AE2FCB" w:rsidRDefault="00AE2FCB" w:rsidP="00AE2FCB">
      <w:pPr>
        <w:pStyle w:val="aa"/>
        <w:spacing w:after="0" w:line="240" w:lineRule="auto"/>
        <w:ind w:left="709"/>
        <w:jc w:val="center"/>
        <w:rPr>
          <w:rFonts w:ascii="Times New Roman" w:hAnsi="Times New Roman" w:cs="Times New Roman"/>
          <w:szCs w:val="28"/>
          <w:lang w:val="ru-RU"/>
        </w:rPr>
      </w:pPr>
      <w:r w:rsidRPr="00B068BF">
        <w:rPr>
          <w:rFonts w:ascii="Times New Roman" w:hAnsi="Times New Roman" w:cs="Times New Roman"/>
          <w:noProof/>
          <w:lang w:val="ru-RU" w:eastAsia="ru-RU"/>
        </w:rPr>
        <w:drawing>
          <wp:inline distT="0" distB="0" distL="0" distR="0" wp14:anchorId="6E10DAE3" wp14:editId="04951D8E">
            <wp:extent cx="3529316" cy="2814761"/>
            <wp:effectExtent l="0" t="0" r="0" b="5080"/>
            <wp:docPr id="35" name="Picture 35"/>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rotWithShape="1">
                    <a:blip r:embed="rId46" cstate="print">
                      <a:extLst>
                        <a:ext uri="{28A0092B-C50C-407E-A947-70E740481C1C}">
                          <a14:useLocalDpi xmlns:a14="http://schemas.microsoft.com/office/drawing/2010/main" val="0"/>
                        </a:ext>
                      </a:extLst>
                    </a:blip>
                    <a:srcRect/>
                    <a:stretch/>
                  </pic:blipFill>
                  <pic:spPr bwMode="auto">
                    <a:xfrm>
                      <a:off x="0" y="0"/>
                      <a:ext cx="3530747" cy="2815903"/>
                    </a:xfrm>
                    <a:prstGeom prst="rect">
                      <a:avLst/>
                    </a:prstGeom>
                    <a:ln>
                      <a:noFill/>
                    </a:ln>
                    <a:extLst>
                      <a:ext uri="{53640926-AAD7-44D8-BBD7-CCE9431645EC}">
                        <a14:shadowObscured xmlns:a14="http://schemas.microsoft.com/office/drawing/2010/main"/>
                      </a:ext>
                    </a:extLst>
                  </pic:spPr>
                </pic:pic>
              </a:graphicData>
            </a:graphic>
          </wp:inline>
        </w:drawing>
      </w:r>
    </w:p>
    <w:p w14:paraId="5972B76A" w14:textId="449B7D88" w:rsidR="002750B6" w:rsidRPr="00B068BF" w:rsidRDefault="002750B6" w:rsidP="007A7ED2">
      <w:pPr>
        <w:pStyle w:val="aa"/>
        <w:numPr>
          <w:ilvl w:val="0"/>
          <w:numId w:val="18"/>
        </w:numPr>
        <w:spacing w:after="0" w:line="240" w:lineRule="auto"/>
        <w:ind w:left="709" w:hanging="709"/>
        <w:jc w:val="both"/>
        <w:rPr>
          <w:rFonts w:ascii="Times New Roman" w:hAnsi="Times New Roman" w:cs="Times New Roman"/>
          <w:szCs w:val="28"/>
          <w:lang w:val="ru-RU"/>
        </w:rPr>
      </w:pPr>
      <w:r w:rsidRPr="00B068BF">
        <w:rPr>
          <w:rFonts w:ascii="Times New Roman" w:hAnsi="Times New Roman" w:cs="Times New Roman"/>
          <w:sz w:val="24"/>
          <w:szCs w:val="24"/>
          <w:lang w:val="ru-RU"/>
        </w:rPr>
        <w:t>Метки для распознавания номинала незрячими людьми выполнены по краям банкноты в виде штрихов, обладающих повышенным рельефом, воспринимаемым</w:t>
      </w:r>
      <w:r w:rsidR="007A7ED2" w:rsidRPr="00B068BF">
        <w:rPr>
          <w:rFonts w:ascii="Times New Roman" w:hAnsi="Times New Roman" w:cs="Times New Roman"/>
          <w:sz w:val="24"/>
          <w:szCs w:val="24"/>
          <w:lang w:val="ru-RU"/>
        </w:rPr>
        <w:t xml:space="preserve"> </w:t>
      </w:r>
      <w:r w:rsidRPr="00B068BF">
        <w:rPr>
          <w:rFonts w:ascii="Times New Roman" w:hAnsi="Times New Roman" w:cs="Times New Roman"/>
          <w:sz w:val="24"/>
          <w:szCs w:val="24"/>
          <w:lang w:val="ru-RU"/>
        </w:rPr>
        <w:t xml:space="preserve">на </w:t>
      </w:r>
      <w:proofErr w:type="gramStart"/>
      <w:r w:rsidRPr="00B068BF">
        <w:rPr>
          <w:rFonts w:ascii="Times New Roman" w:hAnsi="Times New Roman" w:cs="Times New Roman"/>
          <w:sz w:val="24"/>
          <w:szCs w:val="24"/>
          <w:lang w:val="ru-RU"/>
        </w:rPr>
        <w:t>ощупь.</w:t>
      </w:r>
      <w:r w:rsidRPr="00B068BF">
        <w:rPr>
          <w:rFonts w:ascii="Times New Roman" w:hAnsi="Times New Roman" w:cs="Times New Roman"/>
          <w:sz w:val="24"/>
          <w:szCs w:val="24"/>
        </w:rPr>
        <w:t>QR</w:t>
      </w:r>
      <w:proofErr w:type="gramEnd"/>
      <w:r w:rsidRPr="00B068BF">
        <w:rPr>
          <w:rFonts w:ascii="Times New Roman" w:hAnsi="Times New Roman" w:cs="Times New Roman"/>
          <w:sz w:val="24"/>
          <w:szCs w:val="24"/>
          <w:lang w:val="ru-RU"/>
        </w:rPr>
        <w:t>-код</w:t>
      </w:r>
      <w:r w:rsidRPr="00B068BF">
        <w:rPr>
          <w:rFonts w:ascii="Times New Roman" w:hAnsi="Times New Roman" w:cs="Times New Roman"/>
          <w:szCs w:val="28"/>
          <w:lang w:val="ru-RU"/>
        </w:rPr>
        <w:t xml:space="preserve"> содержит ссылку на страницу сайта Банка России с описанием защитных признаков банкноты.</w:t>
      </w:r>
    </w:p>
    <w:p w14:paraId="2E03BE7B" w14:textId="77777777" w:rsidR="008E1AD2" w:rsidRPr="00B068BF" w:rsidRDefault="008E1AD2" w:rsidP="008E1AD2">
      <w:pPr>
        <w:pStyle w:val="aa"/>
        <w:spacing w:after="0" w:line="240" w:lineRule="auto"/>
        <w:ind w:left="0"/>
        <w:jc w:val="both"/>
        <w:rPr>
          <w:rFonts w:ascii="Times New Roman" w:hAnsi="Times New Roman" w:cs="Times New Roman"/>
          <w:szCs w:val="28"/>
          <w:lang w:val="ru-RU"/>
        </w:rPr>
      </w:pPr>
    </w:p>
    <w:p w14:paraId="60AF30ED" w14:textId="77777777" w:rsidR="00014F3F" w:rsidRPr="00B068BF" w:rsidRDefault="00014F3F" w:rsidP="00014F3F">
      <w:pPr>
        <w:pStyle w:val="aa"/>
        <w:spacing w:after="0" w:line="240" w:lineRule="auto"/>
        <w:ind w:left="709"/>
        <w:jc w:val="both"/>
        <w:rPr>
          <w:rFonts w:ascii="Times New Roman" w:hAnsi="Times New Roman" w:cs="Times New Roman"/>
          <w:sz w:val="24"/>
          <w:szCs w:val="24"/>
          <w:lang w:val="ru-RU"/>
        </w:rPr>
      </w:pPr>
    </w:p>
    <w:p w14:paraId="3BF4CF70" w14:textId="77777777" w:rsidR="003C6ADB" w:rsidRPr="00B068BF" w:rsidRDefault="003C6ADB" w:rsidP="003C6ADB">
      <w:pPr>
        <w:tabs>
          <w:tab w:val="left" w:pos="851"/>
        </w:tabs>
        <w:spacing w:after="0" w:line="240" w:lineRule="auto"/>
        <w:ind w:left="450"/>
        <w:jc w:val="both"/>
        <w:rPr>
          <w:rFonts w:ascii="Times New Roman" w:hAnsi="Times New Roman" w:cs="Times New Roman"/>
          <w:b/>
          <w:sz w:val="24"/>
          <w:szCs w:val="24"/>
          <w:lang w:val="ru-RU"/>
        </w:rPr>
      </w:pPr>
      <w:r w:rsidRPr="00B068BF">
        <w:rPr>
          <w:rFonts w:ascii="Times New Roman" w:hAnsi="Times New Roman" w:cs="Times New Roman"/>
          <w:b/>
          <w:sz w:val="24"/>
          <w:szCs w:val="24"/>
          <w:lang w:val="ru-RU"/>
        </w:rPr>
        <w:t>6. Национальный банк Таджикистана</w:t>
      </w:r>
    </w:p>
    <w:p w14:paraId="39C6BF46" w14:textId="77777777" w:rsidR="003C6ADB" w:rsidRPr="00B068BF" w:rsidRDefault="007A7ED2" w:rsidP="007A7ED2">
      <w:pPr>
        <w:tabs>
          <w:tab w:val="left" w:pos="851"/>
        </w:tabs>
        <w:spacing w:after="0" w:line="240" w:lineRule="auto"/>
        <w:ind w:firstLine="45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 xml:space="preserve">Информация о банкнотах, введенных в обращение в 2022 году, представлена в пункте 1 настоящего Отчета. </w:t>
      </w:r>
    </w:p>
    <w:p w14:paraId="18A4B421" w14:textId="77777777" w:rsidR="003C6ADB" w:rsidRPr="00B068BF" w:rsidRDefault="003C6ADB" w:rsidP="00D6401B">
      <w:pPr>
        <w:tabs>
          <w:tab w:val="left" w:pos="851"/>
        </w:tabs>
        <w:spacing w:after="0" w:line="240" w:lineRule="auto"/>
        <w:jc w:val="both"/>
        <w:rPr>
          <w:rFonts w:ascii="Times New Roman" w:hAnsi="Times New Roman" w:cs="Times New Roman"/>
          <w:b/>
          <w:sz w:val="24"/>
          <w:szCs w:val="24"/>
          <w:u w:val="single"/>
          <w:lang w:val="ru-RU"/>
        </w:rPr>
      </w:pPr>
    </w:p>
    <w:p w14:paraId="533315AD" w14:textId="77777777" w:rsidR="00AE2FCB" w:rsidRDefault="00AE2FCB" w:rsidP="00D6401B">
      <w:pPr>
        <w:tabs>
          <w:tab w:val="left" w:pos="851"/>
        </w:tabs>
        <w:spacing w:after="0" w:line="240" w:lineRule="auto"/>
        <w:jc w:val="both"/>
        <w:rPr>
          <w:rFonts w:ascii="Times New Roman" w:hAnsi="Times New Roman" w:cs="Times New Roman"/>
          <w:b/>
          <w:sz w:val="24"/>
          <w:szCs w:val="24"/>
          <w:u w:val="single"/>
          <w:lang w:val="ru-RU"/>
        </w:rPr>
      </w:pPr>
    </w:p>
    <w:p w14:paraId="4C9CD304" w14:textId="4F322E9D" w:rsidR="00A7203D" w:rsidRPr="00B068BF" w:rsidRDefault="00D6401B" w:rsidP="00D6401B">
      <w:pPr>
        <w:tabs>
          <w:tab w:val="left" w:pos="851"/>
        </w:tabs>
        <w:spacing w:after="0" w:line="240" w:lineRule="auto"/>
        <w:jc w:val="both"/>
        <w:rPr>
          <w:rFonts w:ascii="Times New Roman" w:hAnsi="Times New Roman" w:cs="Times New Roman"/>
          <w:b/>
          <w:sz w:val="24"/>
          <w:szCs w:val="24"/>
          <w:lang w:val="ru-RU"/>
        </w:rPr>
      </w:pPr>
      <w:r w:rsidRPr="00B068BF">
        <w:rPr>
          <w:rFonts w:ascii="Times New Roman" w:hAnsi="Times New Roman" w:cs="Times New Roman"/>
          <w:b/>
          <w:sz w:val="24"/>
          <w:szCs w:val="24"/>
          <w:u w:val="single"/>
          <w:lang w:val="ru-RU"/>
        </w:rPr>
        <w:t xml:space="preserve">3. </w:t>
      </w:r>
      <w:r w:rsidR="00A7203D" w:rsidRPr="00B068BF">
        <w:rPr>
          <w:rFonts w:ascii="Times New Roman" w:hAnsi="Times New Roman" w:cs="Times New Roman"/>
          <w:b/>
          <w:sz w:val="24"/>
          <w:szCs w:val="24"/>
          <w:u w:val="single"/>
          <w:lang w:val="ru-RU"/>
        </w:rPr>
        <w:t>Информация об основных способах подделки банкнот национальной валюты, о количестве и качестве фальшивых банкнот, выявленных на территории государств – участников Евразийского совета центральных банков в 202</w:t>
      </w:r>
      <w:r w:rsidR="00330344" w:rsidRPr="00B068BF">
        <w:rPr>
          <w:rFonts w:ascii="Times New Roman" w:hAnsi="Times New Roman" w:cs="Times New Roman"/>
          <w:b/>
          <w:sz w:val="24"/>
          <w:szCs w:val="24"/>
          <w:u w:val="single"/>
          <w:lang w:val="ru-RU"/>
        </w:rPr>
        <w:t>2</w:t>
      </w:r>
      <w:r w:rsidR="00A7203D" w:rsidRPr="00B068BF">
        <w:rPr>
          <w:rFonts w:ascii="Times New Roman" w:hAnsi="Times New Roman" w:cs="Times New Roman"/>
          <w:b/>
          <w:sz w:val="24"/>
          <w:szCs w:val="24"/>
          <w:u w:val="single"/>
          <w:lang w:val="ru-RU"/>
        </w:rPr>
        <w:t xml:space="preserve"> году</w:t>
      </w:r>
    </w:p>
    <w:p w14:paraId="37581653" w14:textId="77777777" w:rsidR="00A7203D" w:rsidRPr="00B068BF" w:rsidRDefault="00A7203D" w:rsidP="00D6459F">
      <w:pPr>
        <w:tabs>
          <w:tab w:val="left" w:pos="1693"/>
        </w:tabs>
        <w:spacing w:after="0" w:line="240" w:lineRule="auto"/>
        <w:rPr>
          <w:rFonts w:ascii="Times New Roman" w:hAnsi="Times New Roman" w:cs="Times New Roman"/>
          <w:sz w:val="24"/>
          <w:szCs w:val="24"/>
          <w:lang w:val="ru-RU"/>
        </w:rPr>
      </w:pPr>
      <w:r w:rsidRPr="00B068BF">
        <w:rPr>
          <w:rFonts w:ascii="Times New Roman" w:hAnsi="Times New Roman" w:cs="Times New Roman"/>
          <w:sz w:val="24"/>
          <w:szCs w:val="24"/>
          <w:lang w:val="ru-RU"/>
        </w:rPr>
        <w:tab/>
      </w:r>
    </w:p>
    <w:p w14:paraId="495D333C" w14:textId="77777777" w:rsidR="00A7203D" w:rsidRPr="00B068BF" w:rsidRDefault="00A7203D" w:rsidP="00D6459F">
      <w:pPr>
        <w:pStyle w:val="a3"/>
        <w:numPr>
          <w:ilvl w:val="0"/>
          <w:numId w:val="5"/>
        </w:numPr>
        <w:spacing w:after="0" w:line="240" w:lineRule="auto"/>
        <w:jc w:val="both"/>
        <w:rPr>
          <w:rFonts w:ascii="Times New Roman" w:hAnsi="Times New Roman" w:cs="Times New Roman"/>
          <w:b/>
          <w:sz w:val="24"/>
          <w:szCs w:val="24"/>
          <w:lang w:val="ru-RU"/>
        </w:rPr>
      </w:pPr>
      <w:r w:rsidRPr="00B068BF">
        <w:rPr>
          <w:rFonts w:ascii="Times New Roman" w:hAnsi="Times New Roman" w:cs="Times New Roman"/>
          <w:b/>
          <w:sz w:val="24"/>
          <w:szCs w:val="24"/>
          <w:lang w:val="ru-RU"/>
        </w:rPr>
        <w:t xml:space="preserve">Центральный банк </w:t>
      </w:r>
      <w:r w:rsidR="00D6459F" w:rsidRPr="00B068BF">
        <w:rPr>
          <w:rFonts w:ascii="Times New Roman" w:hAnsi="Times New Roman" w:cs="Times New Roman"/>
          <w:b/>
          <w:sz w:val="24"/>
          <w:szCs w:val="24"/>
          <w:lang w:val="ru-RU"/>
        </w:rPr>
        <w:t>Республики Армения</w:t>
      </w:r>
    </w:p>
    <w:p w14:paraId="178370C5" w14:textId="77777777" w:rsidR="009C0566" w:rsidRPr="00B068BF" w:rsidRDefault="009C0566" w:rsidP="009C0566">
      <w:pPr>
        <w:spacing w:after="0" w:line="240" w:lineRule="auto"/>
        <w:ind w:firstLine="27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В 2022 г. в Республике Армения было выявлено и</w:t>
      </w:r>
      <w:r w:rsidRPr="00B068BF">
        <w:rPr>
          <w:rFonts w:ascii="Times New Roman" w:hAnsi="Times New Roman" w:cs="Times New Roman"/>
          <w:sz w:val="24"/>
          <w:szCs w:val="24"/>
          <w:lang w:val="hy-AM"/>
        </w:rPr>
        <w:t xml:space="preserve"> </w:t>
      </w:r>
      <w:r w:rsidRPr="00B068BF">
        <w:rPr>
          <w:rFonts w:ascii="Times New Roman" w:hAnsi="Times New Roman" w:cs="Times New Roman"/>
          <w:sz w:val="24"/>
          <w:szCs w:val="24"/>
          <w:lang w:val="ru-RU"/>
        </w:rPr>
        <w:t>изъято из оборота 475 поддельных</w:t>
      </w:r>
    </w:p>
    <w:p w14:paraId="288A0597" w14:textId="77777777" w:rsidR="009C0566" w:rsidRPr="00B068BF" w:rsidRDefault="009C0566" w:rsidP="009C0566">
      <w:pPr>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денежных знака,</w:t>
      </w:r>
      <w:r w:rsidRPr="00B068BF">
        <w:rPr>
          <w:rFonts w:ascii="Times New Roman" w:hAnsi="Times New Roman" w:cs="Times New Roman"/>
          <w:sz w:val="24"/>
          <w:szCs w:val="24"/>
          <w:lang w:val="hy-AM"/>
        </w:rPr>
        <w:t xml:space="preserve"> </w:t>
      </w:r>
      <w:r w:rsidRPr="00B068BF">
        <w:rPr>
          <w:rFonts w:ascii="Times New Roman" w:hAnsi="Times New Roman" w:cs="Times New Roman"/>
          <w:sz w:val="24"/>
          <w:szCs w:val="24"/>
          <w:lang w:val="ru-RU"/>
        </w:rPr>
        <w:t>из которых 138 поддельных монет и 337 поддельных банкнот выявлены в Центральном банке РА,</w:t>
      </w:r>
      <w:r w:rsidRPr="00B068BF">
        <w:rPr>
          <w:rFonts w:ascii="Times New Roman" w:hAnsi="Times New Roman" w:cs="Times New Roman"/>
          <w:sz w:val="24"/>
          <w:szCs w:val="24"/>
          <w:lang w:val="hy-AM"/>
        </w:rPr>
        <w:t xml:space="preserve"> </w:t>
      </w:r>
      <w:r w:rsidRPr="00B068BF">
        <w:rPr>
          <w:rFonts w:ascii="Times New Roman" w:hAnsi="Times New Roman" w:cs="Times New Roman"/>
          <w:sz w:val="24"/>
          <w:szCs w:val="24"/>
          <w:lang w:val="ru-RU"/>
        </w:rPr>
        <w:t>а 17 поддельных банкнот коммерческими банками РА. Сумма обнаруженных поддельных банкнот составляет 1.375.000 драм,</w:t>
      </w:r>
      <w:r w:rsidRPr="00B068BF">
        <w:rPr>
          <w:rFonts w:ascii="Times New Roman" w:hAnsi="Times New Roman" w:cs="Times New Roman"/>
          <w:sz w:val="24"/>
          <w:szCs w:val="24"/>
          <w:lang w:val="hy-AM"/>
        </w:rPr>
        <w:t xml:space="preserve"> </w:t>
      </w:r>
      <w:r w:rsidRPr="00B068BF">
        <w:rPr>
          <w:rFonts w:ascii="Times New Roman" w:hAnsi="Times New Roman" w:cs="Times New Roman"/>
          <w:sz w:val="24"/>
          <w:szCs w:val="24"/>
          <w:lang w:val="ru-RU"/>
        </w:rPr>
        <w:t>поддельных монет</w:t>
      </w:r>
      <w:r w:rsidRPr="00B068BF">
        <w:rPr>
          <w:rFonts w:ascii="Times New Roman" w:hAnsi="Times New Roman" w:cs="Times New Roman"/>
          <w:sz w:val="24"/>
          <w:szCs w:val="24"/>
          <w:lang w:val="hy-AM"/>
        </w:rPr>
        <w:t xml:space="preserve"> </w:t>
      </w:r>
      <w:r w:rsidRPr="00B068BF">
        <w:rPr>
          <w:rFonts w:ascii="Times New Roman" w:hAnsi="Times New Roman" w:cs="Times New Roman"/>
          <w:sz w:val="24"/>
          <w:szCs w:val="24"/>
          <w:lang w:val="ru-RU"/>
        </w:rPr>
        <w:t>–</w:t>
      </w:r>
      <w:r w:rsidRPr="00B068BF">
        <w:rPr>
          <w:rFonts w:ascii="Times New Roman" w:hAnsi="Times New Roman" w:cs="Times New Roman"/>
          <w:sz w:val="24"/>
          <w:szCs w:val="24"/>
          <w:lang w:val="hy-AM"/>
        </w:rPr>
        <w:t xml:space="preserve"> </w:t>
      </w:r>
      <w:r w:rsidRPr="00B068BF">
        <w:rPr>
          <w:rFonts w:ascii="Times New Roman" w:hAnsi="Times New Roman" w:cs="Times New Roman"/>
          <w:sz w:val="24"/>
          <w:szCs w:val="24"/>
          <w:lang w:val="ru-RU"/>
        </w:rPr>
        <w:t xml:space="preserve">63.000 драм. </w:t>
      </w:r>
    </w:p>
    <w:p w14:paraId="52054B65" w14:textId="77777777" w:rsidR="009C0566" w:rsidRPr="00B068BF" w:rsidRDefault="009C0566" w:rsidP="009C0566">
      <w:pPr>
        <w:spacing w:after="0" w:line="240" w:lineRule="auto"/>
        <w:ind w:firstLine="27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Доля выявленных поддельных денежных знаков в общем объёме денежной массы составляет 0,00014 %.</w:t>
      </w:r>
    </w:p>
    <w:p w14:paraId="302A3DDB" w14:textId="77777777" w:rsidR="009C0566" w:rsidRPr="00B068BF" w:rsidRDefault="009C0566" w:rsidP="008E1AD2">
      <w:pPr>
        <w:pStyle w:val="af0"/>
        <w:tabs>
          <w:tab w:val="clear" w:pos="4680"/>
          <w:tab w:val="clear" w:pos="9360"/>
          <w:tab w:val="left" w:pos="90"/>
        </w:tabs>
        <w:ind w:left="27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lastRenderedPageBreak/>
        <w:t xml:space="preserve">В 2022 г.  коммерческими банками были также выявлены поддельные банкноты иностранных государств - доллары США в количестве 9 шт., евро – 1 шт. </w:t>
      </w:r>
    </w:p>
    <w:p w14:paraId="5F93BE11" w14:textId="77777777" w:rsidR="009C0566" w:rsidRPr="00B068BF" w:rsidRDefault="009C0566" w:rsidP="009C0566">
      <w:pPr>
        <w:pStyle w:val="af0"/>
        <w:tabs>
          <w:tab w:val="clear" w:pos="4680"/>
          <w:tab w:val="clear" w:pos="9360"/>
          <w:tab w:val="left" w:pos="1693"/>
        </w:tabs>
        <w:jc w:val="both"/>
        <w:rPr>
          <w:rFonts w:ascii="Times New Roman" w:hAnsi="Times New Roman" w:cs="Times New Roman"/>
          <w:lang w:val="ru-RU"/>
        </w:rPr>
      </w:pPr>
    </w:p>
    <w:tbl>
      <w:tblPr>
        <w:tblStyle w:val="a5"/>
        <w:tblW w:w="7200" w:type="dxa"/>
        <w:tblInd w:w="1075" w:type="dxa"/>
        <w:tblLook w:val="04A0" w:firstRow="1" w:lastRow="0" w:firstColumn="1" w:lastColumn="0" w:noHBand="0" w:noVBand="1"/>
      </w:tblPr>
      <w:tblGrid>
        <w:gridCol w:w="2070"/>
        <w:gridCol w:w="2430"/>
        <w:gridCol w:w="2700"/>
      </w:tblGrid>
      <w:tr w:rsidR="009C0566" w:rsidRPr="00BD18A3" w14:paraId="1CD85B8B" w14:textId="77777777" w:rsidTr="00955B80">
        <w:trPr>
          <w:trHeight w:val="323"/>
        </w:trPr>
        <w:tc>
          <w:tcPr>
            <w:tcW w:w="7200" w:type="dxa"/>
            <w:gridSpan w:val="3"/>
          </w:tcPr>
          <w:p w14:paraId="41EF8544" w14:textId="77777777" w:rsidR="009C0566" w:rsidRPr="00B068BF" w:rsidRDefault="009C0566" w:rsidP="00955B80">
            <w:pPr>
              <w:jc w:val="center"/>
              <w:rPr>
                <w:rFonts w:ascii="Times New Roman" w:hAnsi="Times New Roman" w:cs="Times New Roman"/>
                <w:b/>
                <w:lang w:val="hy-AM"/>
              </w:rPr>
            </w:pPr>
            <w:r w:rsidRPr="00B068BF">
              <w:rPr>
                <w:rFonts w:ascii="Times New Roman" w:hAnsi="Times New Roman" w:cs="Times New Roman"/>
                <w:b/>
                <w:lang w:val="ru-RU"/>
              </w:rPr>
              <w:t xml:space="preserve">Поддельные денежные знаки, выявленные в </w:t>
            </w:r>
            <w:r w:rsidRPr="00B068BF">
              <w:rPr>
                <w:rFonts w:ascii="Times New Roman" w:hAnsi="Times New Roman" w:cs="Times New Roman"/>
                <w:b/>
                <w:lang w:val="hy-AM"/>
              </w:rPr>
              <w:t>20</w:t>
            </w:r>
            <w:r w:rsidRPr="00B068BF">
              <w:rPr>
                <w:rFonts w:ascii="Times New Roman" w:hAnsi="Times New Roman" w:cs="Times New Roman"/>
                <w:b/>
                <w:lang w:val="ru-RU"/>
              </w:rPr>
              <w:t>22 г.</w:t>
            </w:r>
          </w:p>
        </w:tc>
      </w:tr>
      <w:tr w:rsidR="009C0566" w:rsidRPr="00B068BF" w14:paraId="78ABF82D" w14:textId="77777777" w:rsidTr="00955B80">
        <w:trPr>
          <w:trHeight w:val="661"/>
        </w:trPr>
        <w:tc>
          <w:tcPr>
            <w:tcW w:w="2070" w:type="dxa"/>
          </w:tcPr>
          <w:p w14:paraId="333CB52B" w14:textId="77777777" w:rsidR="009C0566" w:rsidRPr="00B068BF" w:rsidRDefault="009C0566" w:rsidP="00955B80">
            <w:pPr>
              <w:rPr>
                <w:rFonts w:ascii="Times New Roman" w:hAnsi="Times New Roman" w:cs="Times New Roman"/>
                <w:b/>
                <w:sz w:val="20"/>
                <w:szCs w:val="20"/>
                <w:lang w:val="ru-RU"/>
              </w:rPr>
            </w:pPr>
            <w:r w:rsidRPr="00B068BF">
              <w:rPr>
                <w:rFonts w:ascii="Times New Roman" w:hAnsi="Times New Roman" w:cs="Times New Roman"/>
                <w:b/>
                <w:sz w:val="20"/>
                <w:szCs w:val="20"/>
                <w:lang w:val="ru-RU"/>
              </w:rPr>
              <w:t>Номинал</w:t>
            </w:r>
          </w:p>
        </w:tc>
        <w:tc>
          <w:tcPr>
            <w:tcW w:w="2430" w:type="dxa"/>
          </w:tcPr>
          <w:p w14:paraId="3AFF0C03" w14:textId="77777777" w:rsidR="009C0566" w:rsidRPr="00B068BF" w:rsidRDefault="009C0566" w:rsidP="00955B80">
            <w:pPr>
              <w:rPr>
                <w:rFonts w:ascii="Times New Roman" w:hAnsi="Times New Roman" w:cs="Times New Roman"/>
                <w:sz w:val="20"/>
                <w:szCs w:val="20"/>
                <w:lang w:val="ru-RU"/>
              </w:rPr>
            </w:pPr>
            <w:r w:rsidRPr="00B068BF">
              <w:rPr>
                <w:rFonts w:ascii="Times New Roman" w:hAnsi="Times New Roman" w:cs="Times New Roman"/>
                <w:sz w:val="20"/>
                <w:szCs w:val="20"/>
                <w:lang w:val="ru-RU"/>
              </w:rPr>
              <w:t>Выявленные в ЦБ РА</w:t>
            </w:r>
          </w:p>
        </w:tc>
        <w:tc>
          <w:tcPr>
            <w:tcW w:w="2700" w:type="dxa"/>
          </w:tcPr>
          <w:p w14:paraId="657C9D50" w14:textId="77777777" w:rsidR="009C0566" w:rsidRPr="00B068BF" w:rsidRDefault="009C0566" w:rsidP="00955B80">
            <w:pPr>
              <w:rPr>
                <w:rFonts w:ascii="Times New Roman" w:hAnsi="Times New Roman" w:cs="Times New Roman"/>
                <w:sz w:val="20"/>
                <w:szCs w:val="20"/>
                <w:lang w:val="ru-RU"/>
              </w:rPr>
            </w:pPr>
            <w:r w:rsidRPr="00B068BF">
              <w:rPr>
                <w:rFonts w:ascii="Times New Roman" w:hAnsi="Times New Roman" w:cs="Times New Roman"/>
                <w:sz w:val="20"/>
                <w:szCs w:val="20"/>
                <w:lang w:val="ru-RU"/>
              </w:rPr>
              <w:t>Выявленные коммерческими банками</w:t>
            </w:r>
          </w:p>
        </w:tc>
      </w:tr>
      <w:tr w:rsidR="009C0566" w:rsidRPr="00B068BF" w14:paraId="243C527F" w14:textId="77777777" w:rsidTr="00955B80">
        <w:trPr>
          <w:trHeight w:val="323"/>
        </w:trPr>
        <w:tc>
          <w:tcPr>
            <w:tcW w:w="2070" w:type="dxa"/>
          </w:tcPr>
          <w:p w14:paraId="785CC8AF" w14:textId="77777777" w:rsidR="009C0566" w:rsidRPr="00B068BF" w:rsidRDefault="009C0566" w:rsidP="00955B80">
            <w:pPr>
              <w:rPr>
                <w:rFonts w:ascii="Times New Roman" w:hAnsi="Times New Roman" w:cs="Times New Roman"/>
                <w:b/>
                <w:lang w:val="ru-RU"/>
              </w:rPr>
            </w:pPr>
            <w:r w:rsidRPr="00B068BF">
              <w:rPr>
                <w:rFonts w:ascii="Times New Roman" w:hAnsi="Times New Roman" w:cs="Times New Roman"/>
                <w:b/>
                <w:color w:val="C00000"/>
                <w:lang w:val="ru-RU"/>
              </w:rPr>
              <w:t>Монеты</w:t>
            </w:r>
          </w:p>
        </w:tc>
        <w:tc>
          <w:tcPr>
            <w:tcW w:w="2430" w:type="dxa"/>
          </w:tcPr>
          <w:p w14:paraId="1A8BE8F9" w14:textId="77777777" w:rsidR="009C0566" w:rsidRPr="00B068BF" w:rsidRDefault="009C0566" w:rsidP="00955B80">
            <w:pPr>
              <w:jc w:val="center"/>
              <w:rPr>
                <w:rFonts w:ascii="Times New Roman" w:hAnsi="Times New Roman" w:cs="Times New Roman"/>
                <w:sz w:val="20"/>
                <w:szCs w:val="20"/>
                <w:lang w:val="ru-RU"/>
              </w:rPr>
            </w:pPr>
            <w:r w:rsidRPr="00B068BF">
              <w:rPr>
                <w:rFonts w:ascii="Times New Roman" w:hAnsi="Times New Roman" w:cs="Times New Roman"/>
                <w:sz w:val="20"/>
                <w:szCs w:val="20"/>
                <w:lang w:val="ru-RU"/>
              </w:rPr>
              <w:t>количество (штук)</w:t>
            </w:r>
          </w:p>
        </w:tc>
        <w:tc>
          <w:tcPr>
            <w:tcW w:w="2700" w:type="dxa"/>
          </w:tcPr>
          <w:p w14:paraId="047554A1" w14:textId="77777777" w:rsidR="009C0566" w:rsidRPr="00B068BF" w:rsidRDefault="009C0566" w:rsidP="00955B80">
            <w:pPr>
              <w:jc w:val="center"/>
              <w:rPr>
                <w:rFonts w:ascii="Times New Roman" w:hAnsi="Times New Roman" w:cs="Times New Roman"/>
                <w:sz w:val="20"/>
                <w:szCs w:val="20"/>
                <w:lang w:val="ru-RU"/>
              </w:rPr>
            </w:pPr>
            <w:r w:rsidRPr="00B068BF">
              <w:rPr>
                <w:rFonts w:ascii="Times New Roman" w:hAnsi="Times New Roman" w:cs="Times New Roman"/>
                <w:sz w:val="20"/>
                <w:szCs w:val="20"/>
                <w:lang w:val="ru-RU"/>
              </w:rPr>
              <w:t>количество (штук)</w:t>
            </w:r>
          </w:p>
        </w:tc>
      </w:tr>
      <w:tr w:rsidR="009C0566" w:rsidRPr="00B068BF" w14:paraId="3B7F166A" w14:textId="77777777" w:rsidTr="00955B80">
        <w:trPr>
          <w:trHeight w:val="341"/>
        </w:trPr>
        <w:tc>
          <w:tcPr>
            <w:tcW w:w="2070" w:type="dxa"/>
          </w:tcPr>
          <w:p w14:paraId="393599D8" w14:textId="77777777" w:rsidR="009C0566" w:rsidRPr="00B068BF" w:rsidRDefault="009C0566" w:rsidP="00955B80">
            <w:pPr>
              <w:rPr>
                <w:rFonts w:ascii="Times New Roman" w:hAnsi="Times New Roman" w:cs="Times New Roman"/>
                <w:sz w:val="20"/>
                <w:szCs w:val="20"/>
                <w:lang w:val="ru-RU"/>
              </w:rPr>
            </w:pPr>
            <w:r w:rsidRPr="00B068BF">
              <w:rPr>
                <w:rFonts w:ascii="Times New Roman" w:hAnsi="Times New Roman" w:cs="Times New Roman"/>
                <w:color w:val="000000"/>
                <w:sz w:val="20"/>
                <w:szCs w:val="20"/>
                <w:lang w:val="ru-RU"/>
              </w:rPr>
              <w:t xml:space="preserve">200 </w:t>
            </w:r>
            <w:r w:rsidRPr="00B068BF">
              <w:rPr>
                <w:rFonts w:ascii="Calibri" w:hAnsi="Calibri" w:cs="Calibri"/>
                <w:color w:val="000000"/>
                <w:sz w:val="20"/>
                <w:szCs w:val="20"/>
              </w:rPr>
              <w:t>֌</w:t>
            </w:r>
          </w:p>
        </w:tc>
        <w:tc>
          <w:tcPr>
            <w:tcW w:w="2430" w:type="dxa"/>
            <w:tcBorders>
              <w:bottom w:val="single" w:sz="4" w:space="0" w:color="auto"/>
            </w:tcBorders>
          </w:tcPr>
          <w:p w14:paraId="585BC6CA" w14:textId="77777777" w:rsidR="009C0566" w:rsidRPr="00B068BF" w:rsidRDefault="009C0566" w:rsidP="00955B80">
            <w:pPr>
              <w:jc w:val="center"/>
              <w:rPr>
                <w:rFonts w:ascii="Times New Roman" w:hAnsi="Times New Roman" w:cs="Times New Roman"/>
                <w:sz w:val="20"/>
                <w:szCs w:val="20"/>
                <w:lang w:val="ru-RU"/>
              </w:rPr>
            </w:pPr>
            <w:r w:rsidRPr="00B068BF">
              <w:rPr>
                <w:rFonts w:ascii="Times New Roman" w:hAnsi="Times New Roman" w:cs="Times New Roman"/>
                <w:sz w:val="20"/>
                <w:szCs w:val="20"/>
                <w:lang w:val="ru-RU"/>
              </w:rPr>
              <w:t>20</w:t>
            </w:r>
          </w:p>
        </w:tc>
        <w:tc>
          <w:tcPr>
            <w:tcW w:w="2700" w:type="dxa"/>
            <w:tcBorders>
              <w:bottom w:val="single" w:sz="4" w:space="0" w:color="auto"/>
            </w:tcBorders>
          </w:tcPr>
          <w:p w14:paraId="53E60C9F" w14:textId="77777777" w:rsidR="009C0566" w:rsidRPr="00B068BF" w:rsidRDefault="009C0566" w:rsidP="00955B80">
            <w:pPr>
              <w:jc w:val="center"/>
              <w:rPr>
                <w:rFonts w:ascii="Times New Roman" w:hAnsi="Times New Roman" w:cs="Times New Roman"/>
                <w:sz w:val="20"/>
                <w:szCs w:val="20"/>
                <w:lang w:val="ru-RU"/>
              </w:rPr>
            </w:pPr>
            <w:r w:rsidRPr="00B068BF">
              <w:rPr>
                <w:rFonts w:ascii="Times New Roman" w:hAnsi="Times New Roman" w:cs="Times New Roman"/>
                <w:sz w:val="20"/>
                <w:szCs w:val="20"/>
                <w:lang w:val="ru-RU"/>
              </w:rPr>
              <w:t>-</w:t>
            </w:r>
          </w:p>
        </w:tc>
      </w:tr>
      <w:tr w:rsidR="009C0566" w:rsidRPr="00B068BF" w14:paraId="2D97F786" w14:textId="77777777" w:rsidTr="00955B80">
        <w:trPr>
          <w:trHeight w:val="350"/>
        </w:trPr>
        <w:tc>
          <w:tcPr>
            <w:tcW w:w="2070" w:type="dxa"/>
            <w:tcBorders>
              <w:bottom w:val="single" w:sz="4" w:space="0" w:color="auto"/>
            </w:tcBorders>
          </w:tcPr>
          <w:p w14:paraId="158BB481" w14:textId="77777777" w:rsidR="009C0566" w:rsidRPr="00B068BF" w:rsidRDefault="009C0566" w:rsidP="00955B80">
            <w:pPr>
              <w:rPr>
                <w:rFonts w:ascii="Times New Roman" w:hAnsi="Times New Roman" w:cs="Times New Roman"/>
                <w:sz w:val="20"/>
                <w:szCs w:val="20"/>
                <w:lang w:val="ru-RU"/>
              </w:rPr>
            </w:pPr>
            <w:r w:rsidRPr="00B068BF">
              <w:rPr>
                <w:rFonts w:ascii="Times New Roman" w:hAnsi="Times New Roman" w:cs="Times New Roman"/>
                <w:color w:val="000000"/>
                <w:sz w:val="20"/>
                <w:szCs w:val="20"/>
                <w:lang w:val="ru-RU"/>
              </w:rPr>
              <w:t xml:space="preserve">500 </w:t>
            </w:r>
            <w:r w:rsidRPr="00B068BF">
              <w:rPr>
                <w:rFonts w:ascii="Calibri" w:hAnsi="Calibri" w:cs="Calibri"/>
                <w:color w:val="000000"/>
                <w:sz w:val="20"/>
                <w:szCs w:val="20"/>
              </w:rPr>
              <w:t>֌</w:t>
            </w:r>
          </w:p>
        </w:tc>
        <w:tc>
          <w:tcPr>
            <w:tcW w:w="2430" w:type="dxa"/>
            <w:tcBorders>
              <w:bottom w:val="single" w:sz="4" w:space="0" w:color="auto"/>
            </w:tcBorders>
          </w:tcPr>
          <w:p w14:paraId="2B988418" w14:textId="77777777" w:rsidR="009C0566" w:rsidRPr="00B068BF" w:rsidRDefault="009C0566" w:rsidP="00955B80">
            <w:pPr>
              <w:tabs>
                <w:tab w:val="left" w:pos="438"/>
                <w:tab w:val="center" w:pos="1067"/>
              </w:tabs>
              <w:jc w:val="center"/>
              <w:rPr>
                <w:rFonts w:ascii="Times New Roman" w:hAnsi="Times New Roman" w:cs="Times New Roman"/>
                <w:sz w:val="20"/>
                <w:szCs w:val="20"/>
                <w:lang w:val="ru-RU"/>
              </w:rPr>
            </w:pPr>
            <w:r w:rsidRPr="00B068BF">
              <w:rPr>
                <w:rFonts w:ascii="Times New Roman" w:hAnsi="Times New Roman" w:cs="Times New Roman"/>
                <w:sz w:val="20"/>
                <w:szCs w:val="20"/>
                <w:lang w:val="ru-RU"/>
              </w:rPr>
              <w:t>118</w:t>
            </w:r>
          </w:p>
        </w:tc>
        <w:tc>
          <w:tcPr>
            <w:tcW w:w="2700" w:type="dxa"/>
            <w:tcBorders>
              <w:bottom w:val="single" w:sz="4" w:space="0" w:color="auto"/>
            </w:tcBorders>
          </w:tcPr>
          <w:p w14:paraId="15104E49" w14:textId="77777777" w:rsidR="009C0566" w:rsidRPr="00B068BF" w:rsidRDefault="009C0566" w:rsidP="00955B80">
            <w:pPr>
              <w:jc w:val="center"/>
              <w:rPr>
                <w:rFonts w:ascii="Times New Roman" w:hAnsi="Times New Roman" w:cs="Times New Roman"/>
                <w:sz w:val="20"/>
                <w:szCs w:val="20"/>
                <w:lang w:val="ru-RU"/>
              </w:rPr>
            </w:pPr>
            <w:r w:rsidRPr="00B068BF">
              <w:rPr>
                <w:rFonts w:ascii="Times New Roman" w:hAnsi="Times New Roman" w:cs="Times New Roman"/>
                <w:sz w:val="20"/>
                <w:szCs w:val="20"/>
                <w:lang w:val="ru-RU"/>
              </w:rPr>
              <w:t>-</w:t>
            </w:r>
          </w:p>
        </w:tc>
      </w:tr>
      <w:tr w:rsidR="009C0566" w:rsidRPr="00B068BF" w14:paraId="4BA13DB4" w14:textId="77777777" w:rsidTr="00955B80">
        <w:trPr>
          <w:trHeight w:val="323"/>
        </w:trPr>
        <w:tc>
          <w:tcPr>
            <w:tcW w:w="2070" w:type="dxa"/>
          </w:tcPr>
          <w:p w14:paraId="39FFA194" w14:textId="77777777" w:rsidR="009C0566" w:rsidRPr="00B068BF" w:rsidRDefault="009C0566" w:rsidP="00955B80">
            <w:pPr>
              <w:rPr>
                <w:rFonts w:ascii="Times New Roman" w:hAnsi="Times New Roman" w:cs="Times New Roman"/>
                <w:b/>
                <w:sz w:val="20"/>
                <w:szCs w:val="20"/>
                <w:lang w:val="ru-RU"/>
              </w:rPr>
            </w:pPr>
            <w:r w:rsidRPr="00B068BF">
              <w:rPr>
                <w:rFonts w:ascii="Times New Roman" w:hAnsi="Times New Roman" w:cs="Times New Roman"/>
                <w:b/>
                <w:sz w:val="20"/>
                <w:szCs w:val="20"/>
                <w:lang w:val="ru-RU"/>
              </w:rPr>
              <w:t>Итого</w:t>
            </w:r>
          </w:p>
        </w:tc>
        <w:tc>
          <w:tcPr>
            <w:tcW w:w="2430" w:type="dxa"/>
          </w:tcPr>
          <w:p w14:paraId="1EE672B3" w14:textId="77777777" w:rsidR="009C0566" w:rsidRPr="00B068BF" w:rsidRDefault="009C0566" w:rsidP="00955B80">
            <w:pPr>
              <w:jc w:val="center"/>
              <w:rPr>
                <w:rFonts w:ascii="Times New Roman" w:hAnsi="Times New Roman" w:cs="Times New Roman"/>
                <w:b/>
                <w:sz w:val="20"/>
                <w:szCs w:val="20"/>
                <w:lang w:val="ru-RU"/>
              </w:rPr>
            </w:pPr>
            <w:r w:rsidRPr="00B068BF">
              <w:rPr>
                <w:rFonts w:ascii="Times New Roman" w:hAnsi="Times New Roman" w:cs="Times New Roman"/>
                <w:b/>
                <w:sz w:val="20"/>
                <w:szCs w:val="20"/>
                <w:lang w:val="ru-RU"/>
              </w:rPr>
              <w:t>138</w:t>
            </w:r>
          </w:p>
        </w:tc>
        <w:tc>
          <w:tcPr>
            <w:tcW w:w="2700" w:type="dxa"/>
          </w:tcPr>
          <w:p w14:paraId="09CAFEE5" w14:textId="77777777" w:rsidR="009C0566" w:rsidRPr="00B068BF" w:rsidRDefault="009C0566" w:rsidP="00955B80">
            <w:pPr>
              <w:jc w:val="center"/>
              <w:rPr>
                <w:rFonts w:ascii="Times New Roman" w:hAnsi="Times New Roman" w:cs="Times New Roman"/>
                <w:b/>
                <w:sz w:val="20"/>
                <w:szCs w:val="20"/>
                <w:lang w:val="ru-RU"/>
              </w:rPr>
            </w:pPr>
            <w:r w:rsidRPr="00B068BF">
              <w:rPr>
                <w:rFonts w:ascii="Times New Roman" w:hAnsi="Times New Roman" w:cs="Times New Roman"/>
                <w:b/>
                <w:sz w:val="20"/>
                <w:szCs w:val="20"/>
                <w:lang w:val="ru-RU"/>
              </w:rPr>
              <w:t>-</w:t>
            </w:r>
          </w:p>
        </w:tc>
      </w:tr>
      <w:tr w:rsidR="009C0566" w:rsidRPr="00B068BF" w14:paraId="7C3B8677" w14:textId="77777777" w:rsidTr="00955B80">
        <w:trPr>
          <w:trHeight w:val="338"/>
        </w:trPr>
        <w:tc>
          <w:tcPr>
            <w:tcW w:w="2070" w:type="dxa"/>
          </w:tcPr>
          <w:p w14:paraId="03C90A2C" w14:textId="77777777" w:rsidR="009C0566" w:rsidRPr="00B068BF" w:rsidRDefault="009C0566" w:rsidP="00955B80">
            <w:pPr>
              <w:rPr>
                <w:rFonts w:ascii="Times New Roman" w:hAnsi="Times New Roman" w:cs="Times New Roman"/>
                <w:b/>
                <w:lang w:val="ru-RU"/>
              </w:rPr>
            </w:pPr>
            <w:r w:rsidRPr="00B068BF">
              <w:rPr>
                <w:rFonts w:ascii="Times New Roman" w:hAnsi="Times New Roman" w:cs="Times New Roman"/>
                <w:b/>
                <w:color w:val="C00000"/>
                <w:lang w:val="ru-RU"/>
              </w:rPr>
              <w:t>Банкноты</w:t>
            </w:r>
          </w:p>
        </w:tc>
        <w:tc>
          <w:tcPr>
            <w:tcW w:w="2430" w:type="dxa"/>
          </w:tcPr>
          <w:p w14:paraId="5297DD0D" w14:textId="77777777" w:rsidR="009C0566" w:rsidRPr="00B068BF" w:rsidRDefault="009C0566" w:rsidP="00955B80">
            <w:pPr>
              <w:jc w:val="center"/>
              <w:rPr>
                <w:rFonts w:ascii="Times New Roman" w:hAnsi="Times New Roman" w:cs="Times New Roman"/>
                <w:sz w:val="20"/>
                <w:szCs w:val="20"/>
                <w:lang w:val="ru-RU"/>
              </w:rPr>
            </w:pPr>
            <w:r w:rsidRPr="00B068BF">
              <w:rPr>
                <w:rFonts w:ascii="Times New Roman" w:hAnsi="Times New Roman" w:cs="Times New Roman"/>
                <w:sz w:val="20"/>
                <w:szCs w:val="20"/>
                <w:lang w:val="ru-RU"/>
              </w:rPr>
              <w:t>количество (штук)</w:t>
            </w:r>
          </w:p>
        </w:tc>
        <w:tc>
          <w:tcPr>
            <w:tcW w:w="2700" w:type="dxa"/>
          </w:tcPr>
          <w:p w14:paraId="270815DD" w14:textId="77777777" w:rsidR="009C0566" w:rsidRPr="00B068BF" w:rsidRDefault="009C0566" w:rsidP="00955B80">
            <w:pPr>
              <w:jc w:val="center"/>
              <w:rPr>
                <w:rFonts w:ascii="Times New Roman" w:hAnsi="Times New Roman" w:cs="Times New Roman"/>
                <w:sz w:val="20"/>
                <w:szCs w:val="20"/>
                <w:lang w:val="ru-RU"/>
              </w:rPr>
            </w:pPr>
            <w:r w:rsidRPr="00B068BF">
              <w:rPr>
                <w:rFonts w:ascii="Times New Roman" w:hAnsi="Times New Roman" w:cs="Times New Roman"/>
                <w:sz w:val="20"/>
                <w:szCs w:val="20"/>
                <w:lang w:val="ru-RU"/>
              </w:rPr>
              <w:t>количество (штук)</w:t>
            </w:r>
          </w:p>
        </w:tc>
      </w:tr>
      <w:tr w:rsidR="009C0566" w:rsidRPr="00B068BF" w14:paraId="376D20D6" w14:textId="77777777" w:rsidTr="00955B80">
        <w:trPr>
          <w:trHeight w:val="242"/>
        </w:trPr>
        <w:tc>
          <w:tcPr>
            <w:tcW w:w="2070" w:type="dxa"/>
            <w:tcBorders>
              <w:top w:val="single" w:sz="4" w:space="0" w:color="auto"/>
              <w:bottom w:val="single" w:sz="4" w:space="0" w:color="auto"/>
            </w:tcBorders>
          </w:tcPr>
          <w:p w14:paraId="12A27281" w14:textId="77777777" w:rsidR="009C0566" w:rsidRPr="00B068BF" w:rsidRDefault="009C0566" w:rsidP="00955B80">
            <w:pPr>
              <w:rPr>
                <w:rFonts w:ascii="Times New Roman" w:hAnsi="Times New Roman" w:cs="Times New Roman"/>
                <w:sz w:val="20"/>
                <w:szCs w:val="20"/>
                <w:lang w:val="ru-RU"/>
              </w:rPr>
            </w:pPr>
            <w:r w:rsidRPr="00B068BF">
              <w:rPr>
                <w:rFonts w:ascii="Times New Roman" w:hAnsi="Times New Roman" w:cs="Times New Roman"/>
                <w:color w:val="000000"/>
                <w:sz w:val="20"/>
                <w:szCs w:val="20"/>
                <w:lang w:val="ru-RU"/>
              </w:rPr>
              <w:t xml:space="preserve">1000 </w:t>
            </w:r>
            <w:r w:rsidRPr="00B068BF">
              <w:rPr>
                <w:rFonts w:ascii="Calibri" w:hAnsi="Calibri" w:cs="Calibri"/>
                <w:color w:val="000000"/>
                <w:sz w:val="20"/>
                <w:szCs w:val="20"/>
              </w:rPr>
              <w:t>֌</w:t>
            </w:r>
          </w:p>
        </w:tc>
        <w:tc>
          <w:tcPr>
            <w:tcW w:w="2430" w:type="dxa"/>
            <w:tcBorders>
              <w:top w:val="single" w:sz="4" w:space="0" w:color="auto"/>
              <w:left w:val="nil"/>
              <w:bottom w:val="single" w:sz="4" w:space="0" w:color="auto"/>
              <w:right w:val="single" w:sz="4" w:space="0" w:color="auto"/>
            </w:tcBorders>
            <w:shd w:val="clear" w:color="auto" w:fill="auto"/>
            <w:vAlign w:val="bottom"/>
          </w:tcPr>
          <w:p w14:paraId="7D0F684C" w14:textId="77777777" w:rsidR="009C0566" w:rsidRPr="00B068BF" w:rsidRDefault="009C0566" w:rsidP="00955B80">
            <w:pPr>
              <w:jc w:val="center"/>
              <w:rPr>
                <w:rFonts w:ascii="Times New Roman" w:hAnsi="Times New Roman" w:cs="Times New Roman"/>
                <w:color w:val="000000"/>
                <w:sz w:val="20"/>
                <w:szCs w:val="20"/>
                <w:lang w:val="ru-RU"/>
              </w:rPr>
            </w:pPr>
            <w:r w:rsidRPr="00B068BF">
              <w:rPr>
                <w:rFonts w:ascii="Times New Roman" w:hAnsi="Times New Roman" w:cs="Times New Roman"/>
                <w:color w:val="000000"/>
                <w:sz w:val="20"/>
                <w:szCs w:val="20"/>
                <w:lang w:val="ru-RU"/>
              </w:rPr>
              <w:t>285</w:t>
            </w:r>
          </w:p>
        </w:tc>
        <w:tc>
          <w:tcPr>
            <w:tcW w:w="2700" w:type="dxa"/>
            <w:tcBorders>
              <w:top w:val="single" w:sz="4" w:space="0" w:color="auto"/>
              <w:left w:val="nil"/>
              <w:bottom w:val="single" w:sz="4" w:space="0" w:color="auto"/>
              <w:right w:val="single" w:sz="4" w:space="0" w:color="auto"/>
            </w:tcBorders>
          </w:tcPr>
          <w:p w14:paraId="5321169B" w14:textId="77777777" w:rsidR="009C0566" w:rsidRPr="00B068BF" w:rsidRDefault="009C0566" w:rsidP="00955B80">
            <w:pPr>
              <w:jc w:val="center"/>
              <w:rPr>
                <w:rFonts w:ascii="Times New Roman" w:hAnsi="Times New Roman" w:cs="Times New Roman"/>
                <w:color w:val="000000"/>
                <w:sz w:val="20"/>
                <w:szCs w:val="20"/>
                <w:lang w:val="ru-RU"/>
              </w:rPr>
            </w:pPr>
            <w:r w:rsidRPr="00B068BF">
              <w:rPr>
                <w:rFonts w:ascii="Times New Roman" w:hAnsi="Times New Roman" w:cs="Times New Roman"/>
                <w:color w:val="000000"/>
                <w:sz w:val="20"/>
                <w:szCs w:val="20"/>
                <w:lang w:val="ru-RU"/>
              </w:rPr>
              <w:t>-</w:t>
            </w:r>
          </w:p>
        </w:tc>
      </w:tr>
      <w:tr w:rsidR="009C0566" w:rsidRPr="00B068BF" w14:paraId="3D952DEA" w14:textId="77777777" w:rsidTr="00955B80">
        <w:trPr>
          <w:trHeight w:val="269"/>
        </w:trPr>
        <w:tc>
          <w:tcPr>
            <w:tcW w:w="2070" w:type="dxa"/>
            <w:tcBorders>
              <w:top w:val="single" w:sz="4" w:space="0" w:color="auto"/>
              <w:bottom w:val="single" w:sz="4" w:space="0" w:color="auto"/>
            </w:tcBorders>
          </w:tcPr>
          <w:p w14:paraId="70917420" w14:textId="77777777" w:rsidR="009C0566" w:rsidRPr="00B068BF" w:rsidRDefault="009C0566" w:rsidP="00955B80">
            <w:pPr>
              <w:rPr>
                <w:rFonts w:ascii="Times New Roman" w:hAnsi="Times New Roman" w:cs="Times New Roman"/>
                <w:color w:val="000000"/>
                <w:sz w:val="20"/>
                <w:szCs w:val="20"/>
                <w:lang w:val="ru-RU"/>
              </w:rPr>
            </w:pPr>
            <w:r w:rsidRPr="00B068BF">
              <w:rPr>
                <w:rFonts w:ascii="Times New Roman" w:hAnsi="Times New Roman" w:cs="Times New Roman"/>
                <w:color w:val="000000"/>
                <w:sz w:val="20"/>
                <w:szCs w:val="20"/>
                <w:lang w:val="ru-RU"/>
              </w:rPr>
              <w:t xml:space="preserve">2000 </w:t>
            </w:r>
            <w:r w:rsidRPr="00B068BF">
              <w:rPr>
                <w:rFonts w:ascii="Calibri" w:hAnsi="Calibri" w:cs="Calibri"/>
                <w:color w:val="000000"/>
                <w:sz w:val="20"/>
                <w:szCs w:val="20"/>
              </w:rPr>
              <w:t>֌</w:t>
            </w:r>
          </w:p>
        </w:tc>
        <w:tc>
          <w:tcPr>
            <w:tcW w:w="2430" w:type="dxa"/>
            <w:tcBorders>
              <w:top w:val="single" w:sz="4" w:space="0" w:color="auto"/>
              <w:left w:val="nil"/>
              <w:bottom w:val="single" w:sz="4" w:space="0" w:color="auto"/>
              <w:right w:val="single" w:sz="4" w:space="0" w:color="auto"/>
            </w:tcBorders>
            <w:shd w:val="clear" w:color="auto" w:fill="auto"/>
            <w:vAlign w:val="bottom"/>
          </w:tcPr>
          <w:p w14:paraId="1720ED48" w14:textId="77777777" w:rsidR="009C0566" w:rsidRPr="00B068BF" w:rsidRDefault="009C0566" w:rsidP="00955B80">
            <w:pPr>
              <w:jc w:val="center"/>
              <w:rPr>
                <w:rFonts w:ascii="Times New Roman" w:hAnsi="Times New Roman" w:cs="Times New Roman"/>
                <w:color w:val="000000"/>
                <w:sz w:val="20"/>
                <w:szCs w:val="20"/>
                <w:lang w:val="ru-RU"/>
              </w:rPr>
            </w:pPr>
            <w:r w:rsidRPr="00B068BF">
              <w:rPr>
                <w:rFonts w:ascii="Times New Roman" w:hAnsi="Times New Roman" w:cs="Times New Roman"/>
                <w:color w:val="000000"/>
                <w:sz w:val="20"/>
                <w:szCs w:val="20"/>
                <w:lang w:val="ru-RU"/>
              </w:rPr>
              <w:t>5</w:t>
            </w:r>
          </w:p>
        </w:tc>
        <w:tc>
          <w:tcPr>
            <w:tcW w:w="2700" w:type="dxa"/>
            <w:tcBorders>
              <w:top w:val="single" w:sz="4" w:space="0" w:color="auto"/>
              <w:left w:val="nil"/>
              <w:bottom w:val="single" w:sz="4" w:space="0" w:color="auto"/>
              <w:right w:val="single" w:sz="4" w:space="0" w:color="auto"/>
            </w:tcBorders>
          </w:tcPr>
          <w:p w14:paraId="653BAE28" w14:textId="77777777" w:rsidR="009C0566" w:rsidRPr="00B068BF" w:rsidRDefault="009C0566" w:rsidP="00955B80">
            <w:pPr>
              <w:jc w:val="center"/>
              <w:rPr>
                <w:rFonts w:ascii="Times New Roman" w:hAnsi="Times New Roman" w:cs="Times New Roman"/>
                <w:color w:val="000000"/>
                <w:sz w:val="20"/>
                <w:szCs w:val="20"/>
                <w:lang w:val="ru-RU"/>
              </w:rPr>
            </w:pPr>
            <w:r w:rsidRPr="00B068BF">
              <w:rPr>
                <w:rFonts w:ascii="Times New Roman" w:hAnsi="Times New Roman" w:cs="Times New Roman"/>
                <w:color w:val="000000"/>
                <w:sz w:val="20"/>
                <w:szCs w:val="20"/>
                <w:lang w:val="ru-RU"/>
              </w:rPr>
              <w:t>-</w:t>
            </w:r>
          </w:p>
        </w:tc>
      </w:tr>
      <w:tr w:rsidR="009C0566" w:rsidRPr="00B068BF" w14:paraId="29AF719B" w14:textId="77777777" w:rsidTr="00955B80">
        <w:trPr>
          <w:trHeight w:val="359"/>
        </w:trPr>
        <w:tc>
          <w:tcPr>
            <w:tcW w:w="2070" w:type="dxa"/>
            <w:tcBorders>
              <w:top w:val="single" w:sz="4" w:space="0" w:color="auto"/>
              <w:bottom w:val="single" w:sz="4" w:space="0" w:color="auto"/>
            </w:tcBorders>
          </w:tcPr>
          <w:p w14:paraId="1F0F4DBD" w14:textId="77777777" w:rsidR="009C0566" w:rsidRPr="00B068BF" w:rsidRDefault="009C0566" w:rsidP="00955B80">
            <w:pPr>
              <w:rPr>
                <w:rFonts w:ascii="Times New Roman" w:hAnsi="Times New Roman" w:cs="Times New Roman"/>
                <w:sz w:val="20"/>
                <w:szCs w:val="20"/>
                <w:lang w:val="ru-RU"/>
              </w:rPr>
            </w:pPr>
            <w:r w:rsidRPr="00B068BF">
              <w:rPr>
                <w:rFonts w:ascii="Times New Roman" w:hAnsi="Times New Roman" w:cs="Times New Roman"/>
                <w:color w:val="000000"/>
                <w:sz w:val="20"/>
                <w:szCs w:val="20"/>
                <w:lang w:val="ru-RU"/>
              </w:rPr>
              <w:t xml:space="preserve">5000 </w:t>
            </w:r>
            <w:r w:rsidRPr="00B068BF">
              <w:rPr>
                <w:rFonts w:ascii="Calibri" w:hAnsi="Calibri" w:cs="Calibri"/>
                <w:color w:val="000000"/>
                <w:sz w:val="20"/>
                <w:szCs w:val="20"/>
              </w:rPr>
              <w:t>֌</w:t>
            </w:r>
          </w:p>
        </w:tc>
        <w:tc>
          <w:tcPr>
            <w:tcW w:w="2430" w:type="dxa"/>
            <w:tcBorders>
              <w:top w:val="single" w:sz="4" w:space="0" w:color="auto"/>
              <w:left w:val="nil"/>
              <w:bottom w:val="single" w:sz="4" w:space="0" w:color="auto"/>
              <w:right w:val="single" w:sz="4" w:space="0" w:color="auto"/>
            </w:tcBorders>
            <w:shd w:val="clear" w:color="auto" w:fill="auto"/>
            <w:vAlign w:val="bottom"/>
          </w:tcPr>
          <w:p w14:paraId="29261C6F" w14:textId="77777777" w:rsidR="009C0566" w:rsidRPr="00B068BF" w:rsidRDefault="009C0566" w:rsidP="00955B80">
            <w:pPr>
              <w:jc w:val="center"/>
              <w:rPr>
                <w:rFonts w:ascii="Times New Roman" w:hAnsi="Times New Roman" w:cs="Times New Roman"/>
                <w:color w:val="000000"/>
                <w:sz w:val="20"/>
                <w:szCs w:val="20"/>
                <w:lang w:val="ru-RU"/>
              </w:rPr>
            </w:pPr>
            <w:r w:rsidRPr="00B068BF">
              <w:rPr>
                <w:rFonts w:ascii="Times New Roman" w:hAnsi="Times New Roman" w:cs="Times New Roman"/>
                <w:color w:val="000000"/>
                <w:sz w:val="20"/>
                <w:szCs w:val="20"/>
                <w:lang w:val="ru-RU"/>
              </w:rPr>
              <w:t>7</w:t>
            </w:r>
          </w:p>
        </w:tc>
        <w:tc>
          <w:tcPr>
            <w:tcW w:w="2700" w:type="dxa"/>
            <w:tcBorders>
              <w:top w:val="single" w:sz="4" w:space="0" w:color="auto"/>
              <w:left w:val="nil"/>
              <w:bottom w:val="single" w:sz="4" w:space="0" w:color="auto"/>
              <w:right w:val="single" w:sz="4" w:space="0" w:color="auto"/>
            </w:tcBorders>
          </w:tcPr>
          <w:p w14:paraId="361DA0D2" w14:textId="77777777" w:rsidR="009C0566" w:rsidRPr="00B068BF" w:rsidRDefault="009C0566" w:rsidP="00955B80">
            <w:pPr>
              <w:jc w:val="center"/>
              <w:rPr>
                <w:rFonts w:ascii="Times New Roman" w:hAnsi="Times New Roman" w:cs="Times New Roman"/>
                <w:color w:val="000000"/>
                <w:sz w:val="20"/>
                <w:szCs w:val="20"/>
                <w:lang w:val="ru-RU"/>
              </w:rPr>
            </w:pPr>
            <w:r w:rsidRPr="00B068BF">
              <w:rPr>
                <w:rFonts w:ascii="Times New Roman" w:hAnsi="Times New Roman" w:cs="Times New Roman"/>
                <w:color w:val="000000"/>
                <w:sz w:val="20"/>
                <w:szCs w:val="20"/>
                <w:lang w:val="ru-RU"/>
              </w:rPr>
              <w:t>1</w:t>
            </w:r>
          </w:p>
        </w:tc>
      </w:tr>
      <w:tr w:rsidR="009C0566" w:rsidRPr="00B068BF" w14:paraId="7DB5DF0E" w14:textId="77777777" w:rsidTr="00955B80">
        <w:trPr>
          <w:trHeight w:val="251"/>
        </w:trPr>
        <w:tc>
          <w:tcPr>
            <w:tcW w:w="2070" w:type="dxa"/>
            <w:tcBorders>
              <w:top w:val="single" w:sz="4" w:space="0" w:color="auto"/>
              <w:bottom w:val="single" w:sz="4" w:space="0" w:color="auto"/>
            </w:tcBorders>
          </w:tcPr>
          <w:p w14:paraId="4AA60E91" w14:textId="77777777" w:rsidR="009C0566" w:rsidRPr="00B068BF" w:rsidRDefault="009C0566" w:rsidP="00955B80">
            <w:pPr>
              <w:rPr>
                <w:rFonts w:ascii="Times New Roman" w:hAnsi="Times New Roman" w:cs="Times New Roman"/>
                <w:sz w:val="20"/>
                <w:szCs w:val="20"/>
                <w:lang w:val="ru-RU"/>
              </w:rPr>
            </w:pPr>
            <w:r w:rsidRPr="00B068BF">
              <w:rPr>
                <w:rFonts w:ascii="Times New Roman" w:hAnsi="Times New Roman" w:cs="Times New Roman"/>
                <w:color w:val="000000"/>
                <w:sz w:val="20"/>
                <w:szCs w:val="20"/>
                <w:lang w:val="ru-RU"/>
              </w:rPr>
              <w:t xml:space="preserve">10000 </w:t>
            </w:r>
            <w:r w:rsidRPr="00B068BF">
              <w:rPr>
                <w:rFonts w:ascii="Calibri" w:hAnsi="Calibri" w:cs="Calibri"/>
                <w:color w:val="000000"/>
                <w:sz w:val="20"/>
                <w:szCs w:val="20"/>
              </w:rPr>
              <w:t>֌</w:t>
            </w:r>
          </w:p>
        </w:tc>
        <w:tc>
          <w:tcPr>
            <w:tcW w:w="2430" w:type="dxa"/>
            <w:tcBorders>
              <w:top w:val="single" w:sz="4" w:space="0" w:color="auto"/>
              <w:left w:val="nil"/>
              <w:bottom w:val="single" w:sz="4" w:space="0" w:color="auto"/>
              <w:right w:val="single" w:sz="4" w:space="0" w:color="auto"/>
            </w:tcBorders>
            <w:shd w:val="clear" w:color="auto" w:fill="auto"/>
            <w:vAlign w:val="bottom"/>
          </w:tcPr>
          <w:p w14:paraId="5F89A08C" w14:textId="77777777" w:rsidR="009C0566" w:rsidRPr="00B068BF" w:rsidRDefault="009C0566" w:rsidP="00955B80">
            <w:pPr>
              <w:jc w:val="center"/>
              <w:rPr>
                <w:rFonts w:ascii="Times New Roman" w:hAnsi="Times New Roman" w:cs="Times New Roman"/>
                <w:color w:val="000000"/>
                <w:sz w:val="20"/>
                <w:szCs w:val="20"/>
                <w:lang w:val="ru-RU"/>
              </w:rPr>
            </w:pPr>
            <w:r w:rsidRPr="00B068BF">
              <w:rPr>
                <w:rFonts w:ascii="Times New Roman" w:hAnsi="Times New Roman" w:cs="Times New Roman"/>
                <w:color w:val="000000"/>
                <w:sz w:val="20"/>
                <w:szCs w:val="20"/>
                <w:lang w:val="ru-RU"/>
              </w:rPr>
              <w:t>6</w:t>
            </w:r>
          </w:p>
        </w:tc>
        <w:tc>
          <w:tcPr>
            <w:tcW w:w="2700" w:type="dxa"/>
            <w:tcBorders>
              <w:top w:val="single" w:sz="4" w:space="0" w:color="auto"/>
              <w:left w:val="nil"/>
              <w:bottom w:val="single" w:sz="4" w:space="0" w:color="auto"/>
              <w:right w:val="single" w:sz="4" w:space="0" w:color="auto"/>
            </w:tcBorders>
          </w:tcPr>
          <w:p w14:paraId="3DE10CD3" w14:textId="77777777" w:rsidR="009C0566" w:rsidRPr="00B068BF" w:rsidRDefault="009C0566" w:rsidP="00955B80">
            <w:pPr>
              <w:jc w:val="center"/>
              <w:rPr>
                <w:rFonts w:ascii="Times New Roman" w:hAnsi="Times New Roman" w:cs="Times New Roman"/>
                <w:color w:val="000000"/>
                <w:sz w:val="20"/>
                <w:szCs w:val="20"/>
                <w:lang w:val="ru-RU"/>
              </w:rPr>
            </w:pPr>
            <w:r w:rsidRPr="00B068BF">
              <w:rPr>
                <w:rFonts w:ascii="Times New Roman" w:hAnsi="Times New Roman" w:cs="Times New Roman"/>
                <w:color w:val="000000"/>
                <w:sz w:val="20"/>
                <w:szCs w:val="20"/>
                <w:lang w:val="ru-RU"/>
              </w:rPr>
              <w:t>2</w:t>
            </w:r>
          </w:p>
        </w:tc>
      </w:tr>
      <w:tr w:rsidR="009C0566" w:rsidRPr="00B068BF" w14:paraId="1DE2847D" w14:textId="77777777" w:rsidTr="00955B80">
        <w:trPr>
          <w:trHeight w:val="323"/>
        </w:trPr>
        <w:tc>
          <w:tcPr>
            <w:tcW w:w="2070" w:type="dxa"/>
            <w:tcBorders>
              <w:top w:val="single" w:sz="4" w:space="0" w:color="auto"/>
              <w:bottom w:val="single" w:sz="4" w:space="0" w:color="auto"/>
            </w:tcBorders>
          </w:tcPr>
          <w:p w14:paraId="453B0536" w14:textId="77777777" w:rsidR="009C0566" w:rsidRPr="00B068BF" w:rsidRDefault="009C0566" w:rsidP="00955B80">
            <w:pPr>
              <w:rPr>
                <w:rFonts w:ascii="Times New Roman" w:hAnsi="Times New Roman" w:cs="Times New Roman"/>
                <w:sz w:val="20"/>
                <w:szCs w:val="20"/>
              </w:rPr>
            </w:pPr>
            <w:r w:rsidRPr="00B068BF">
              <w:rPr>
                <w:rFonts w:ascii="Times New Roman" w:hAnsi="Times New Roman" w:cs="Times New Roman"/>
                <w:color w:val="000000"/>
                <w:sz w:val="20"/>
                <w:szCs w:val="20"/>
              </w:rPr>
              <w:t xml:space="preserve">20 000 </w:t>
            </w:r>
            <w:r w:rsidRPr="00B068BF">
              <w:rPr>
                <w:rFonts w:ascii="Calibri" w:hAnsi="Calibri" w:cs="Calibri"/>
                <w:color w:val="000000"/>
                <w:sz w:val="20"/>
                <w:szCs w:val="20"/>
              </w:rPr>
              <w:t>֌</w:t>
            </w:r>
          </w:p>
        </w:tc>
        <w:tc>
          <w:tcPr>
            <w:tcW w:w="2430" w:type="dxa"/>
            <w:tcBorders>
              <w:top w:val="single" w:sz="4" w:space="0" w:color="auto"/>
              <w:left w:val="nil"/>
              <w:bottom w:val="single" w:sz="4" w:space="0" w:color="auto"/>
              <w:right w:val="single" w:sz="4" w:space="0" w:color="auto"/>
            </w:tcBorders>
            <w:shd w:val="clear" w:color="auto" w:fill="auto"/>
            <w:vAlign w:val="bottom"/>
          </w:tcPr>
          <w:p w14:paraId="0443BC77" w14:textId="77777777" w:rsidR="009C0566" w:rsidRPr="00B068BF" w:rsidRDefault="009C0566" w:rsidP="00955B80">
            <w:pPr>
              <w:jc w:val="center"/>
              <w:rPr>
                <w:rFonts w:ascii="Times New Roman" w:hAnsi="Times New Roman" w:cs="Times New Roman"/>
                <w:color w:val="000000"/>
                <w:sz w:val="20"/>
                <w:szCs w:val="20"/>
                <w:lang w:val="ru-RU"/>
              </w:rPr>
            </w:pPr>
            <w:r w:rsidRPr="00B068BF">
              <w:rPr>
                <w:rFonts w:ascii="Times New Roman" w:hAnsi="Times New Roman" w:cs="Times New Roman"/>
                <w:color w:val="000000"/>
                <w:sz w:val="20"/>
                <w:szCs w:val="20"/>
                <w:lang w:val="ru-RU"/>
              </w:rPr>
              <w:t>34</w:t>
            </w:r>
          </w:p>
        </w:tc>
        <w:tc>
          <w:tcPr>
            <w:tcW w:w="2700" w:type="dxa"/>
            <w:tcBorders>
              <w:top w:val="single" w:sz="4" w:space="0" w:color="auto"/>
              <w:left w:val="nil"/>
              <w:bottom w:val="single" w:sz="4" w:space="0" w:color="auto"/>
              <w:right w:val="single" w:sz="4" w:space="0" w:color="auto"/>
            </w:tcBorders>
          </w:tcPr>
          <w:p w14:paraId="35A1DE86" w14:textId="77777777" w:rsidR="009C0566" w:rsidRPr="00B068BF" w:rsidRDefault="009C0566" w:rsidP="00955B80">
            <w:pPr>
              <w:jc w:val="center"/>
              <w:rPr>
                <w:rFonts w:ascii="Times New Roman" w:hAnsi="Times New Roman" w:cs="Times New Roman"/>
                <w:color w:val="000000"/>
                <w:sz w:val="20"/>
                <w:szCs w:val="20"/>
                <w:lang w:val="ru-RU"/>
              </w:rPr>
            </w:pPr>
            <w:r w:rsidRPr="00B068BF">
              <w:rPr>
                <w:rFonts w:ascii="Times New Roman" w:hAnsi="Times New Roman" w:cs="Times New Roman"/>
                <w:color w:val="000000"/>
                <w:sz w:val="20"/>
                <w:szCs w:val="20"/>
                <w:lang w:val="ru-RU"/>
              </w:rPr>
              <w:t>14</w:t>
            </w:r>
          </w:p>
        </w:tc>
      </w:tr>
      <w:tr w:rsidR="009C0566" w:rsidRPr="00B068BF" w14:paraId="70BD0950" w14:textId="77777777" w:rsidTr="00955B80">
        <w:trPr>
          <w:trHeight w:val="323"/>
        </w:trPr>
        <w:tc>
          <w:tcPr>
            <w:tcW w:w="2070" w:type="dxa"/>
          </w:tcPr>
          <w:p w14:paraId="16015FAB" w14:textId="77777777" w:rsidR="009C0566" w:rsidRPr="00B068BF" w:rsidRDefault="009C0566" w:rsidP="00955B80">
            <w:pPr>
              <w:rPr>
                <w:rFonts w:ascii="Times New Roman" w:hAnsi="Times New Roman" w:cs="Times New Roman"/>
                <w:b/>
                <w:sz w:val="20"/>
                <w:szCs w:val="20"/>
              </w:rPr>
            </w:pPr>
            <w:r w:rsidRPr="00B068BF">
              <w:rPr>
                <w:rFonts w:ascii="Times New Roman" w:hAnsi="Times New Roman" w:cs="Times New Roman"/>
                <w:b/>
                <w:sz w:val="20"/>
                <w:szCs w:val="20"/>
                <w:lang w:val="ru-RU"/>
              </w:rPr>
              <w:t>Итого</w:t>
            </w:r>
          </w:p>
        </w:tc>
        <w:tc>
          <w:tcPr>
            <w:tcW w:w="2430" w:type="dxa"/>
          </w:tcPr>
          <w:p w14:paraId="4DBFD5B2" w14:textId="77777777" w:rsidR="009C0566" w:rsidRPr="00B068BF" w:rsidRDefault="009C0566" w:rsidP="00955B80">
            <w:pPr>
              <w:jc w:val="center"/>
              <w:rPr>
                <w:rFonts w:ascii="Times New Roman" w:hAnsi="Times New Roman" w:cs="Times New Roman"/>
                <w:b/>
                <w:sz w:val="20"/>
                <w:szCs w:val="20"/>
                <w:lang w:val="ru-RU"/>
              </w:rPr>
            </w:pPr>
            <w:r w:rsidRPr="00B068BF">
              <w:rPr>
                <w:rFonts w:ascii="Times New Roman" w:hAnsi="Times New Roman" w:cs="Times New Roman"/>
                <w:b/>
                <w:sz w:val="20"/>
                <w:szCs w:val="20"/>
                <w:lang w:val="ru-RU"/>
              </w:rPr>
              <w:t>337</w:t>
            </w:r>
          </w:p>
        </w:tc>
        <w:tc>
          <w:tcPr>
            <w:tcW w:w="2700" w:type="dxa"/>
          </w:tcPr>
          <w:p w14:paraId="5375FECE" w14:textId="77777777" w:rsidR="009C0566" w:rsidRPr="00B068BF" w:rsidRDefault="009C0566" w:rsidP="00955B80">
            <w:pPr>
              <w:jc w:val="center"/>
              <w:rPr>
                <w:rFonts w:ascii="Times New Roman" w:hAnsi="Times New Roman" w:cs="Times New Roman"/>
                <w:b/>
                <w:sz w:val="20"/>
                <w:szCs w:val="20"/>
                <w:lang w:val="ru-RU"/>
              </w:rPr>
            </w:pPr>
            <w:r w:rsidRPr="00B068BF">
              <w:rPr>
                <w:rFonts w:ascii="Times New Roman" w:hAnsi="Times New Roman" w:cs="Times New Roman"/>
                <w:b/>
                <w:sz w:val="20"/>
                <w:szCs w:val="20"/>
                <w:lang w:val="ru-RU"/>
              </w:rPr>
              <w:t>17</w:t>
            </w:r>
          </w:p>
        </w:tc>
      </w:tr>
      <w:tr w:rsidR="009C0566" w:rsidRPr="00B068BF" w14:paraId="466F4B7C" w14:textId="77777777" w:rsidTr="00955B80">
        <w:trPr>
          <w:trHeight w:val="323"/>
        </w:trPr>
        <w:tc>
          <w:tcPr>
            <w:tcW w:w="2070" w:type="dxa"/>
          </w:tcPr>
          <w:p w14:paraId="1F1B3228" w14:textId="77777777" w:rsidR="009C0566" w:rsidRPr="00B068BF" w:rsidRDefault="009C0566" w:rsidP="00955B80">
            <w:pPr>
              <w:rPr>
                <w:rFonts w:ascii="Times New Roman" w:hAnsi="Times New Roman" w:cs="Times New Roman"/>
                <w:b/>
                <w:lang w:val="ru-RU"/>
              </w:rPr>
            </w:pPr>
            <w:r w:rsidRPr="00B068BF">
              <w:rPr>
                <w:rFonts w:ascii="Times New Roman" w:hAnsi="Times New Roman" w:cs="Times New Roman"/>
                <w:b/>
                <w:lang w:val="ru-RU"/>
              </w:rPr>
              <w:t>Всего</w:t>
            </w:r>
          </w:p>
        </w:tc>
        <w:tc>
          <w:tcPr>
            <w:tcW w:w="2430" w:type="dxa"/>
          </w:tcPr>
          <w:p w14:paraId="715FF82D" w14:textId="77777777" w:rsidR="009C0566" w:rsidRPr="00B068BF" w:rsidRDefault="009C0566" w:rsidP="00955B80">
            <w:pPr>
              <w:jc w:val="center"/>
              <w:rPr>
                <w:rFonts w:ascii="Times New Roman" w:hAnsi="Times New Roman" w:cs="Times New Roman"/>
                <w:b/>
                <w:lang w:val="ru-RU"/>
              </w:rPr>
            </w:pPr>
            <w:r w:rsidRPr="00B068BF">
              <w:rPr>
                <w:rFonts w:ascii="Times New Roman" w:hAnsi="Times New Roman" w:cs="Times New Roman"/>
                <w:b/>
                <w:lang w:val="ru-RU"/>
              </w:rPr>
              <w:t>475</w:t>
            </w:r>
          </w:p>
        </w:tc>
        <w:tc>
          <w:tcPr>
            <w:tcW w:w="2700" w:type="dxa"/>
          </w:tcPr>
          <w:p w14:paraId="09C0D9C7" w14:textId="77777777" w:rsidR="009C0566" w:rsidRPr="00B068BF" w:rsidRDefault="009C0566" w:rsidP="00955B80">
            <w:pPr>
              <w:jc w:val="center"/>
              <w:rPr>
                <w:rFonts w:ascii="Times New Roman" w:hAnsi="Times New Roman" w:cs="Times New Roman"/>
                <w:b/>
              </w:rPr>
            </w:pPr>
            <w:r w:rsidRPr="00B068BF">
              <w:rPr>
                <w:rFonts w:ascii="Times New Roman" w:hAnsi="Times New Roman" w:cs="Times New Roman"/>
                <w:b/>
                <w:lang w:val="ru-RU"/>
              </w:rPr>
              <w:t>17</w:t>
            </w:r>
          </w:p>
        </w:tc>
      </w:tr>
      <w:tr w:rsidR="009C0566" w:rsidRPr="00B068BF" w14:paraId="59B70D41" w14:textId="77777777" w:rsidTr="00955B80">
        <w:trPr>
          <w:trHeight w:val="323"/>
        </w:trPr>
        <w:tc>
          <w:tcPr>
            <w:tcW w:w="2070" w:type="dxa"/>
          </w:tcPr>
          <w:p w14:paraId="36AFA39F" w14:textId="77777777" w:rsidR="009C0566" w:rsidRPr="00B068BF" w:rsidRDefault="009C0566" w:rsidP="00955B80">
            <w:pPr>
              <w:rPr>
                <w:rFonts w:ascii="Times New Roman" w:hAnsi="Times New Roman" w:cs="Times New Roman"/>
                <w:b/>
                <w:lang w:val="ru-RU"/>
              </w:rPr>
            </w:pPr>
            <w:r w:rsidRPr="00B068BF">
              <w:rPr>
                <w:rFonts w:ascii="Times New Roman" w:hAnsi="Times New Roman" w:cs="Times New Roman"/>
                <w:b/>
                <w:lang w:val="ru-RU"/>
              </w:rPr>
              <w:t>Сумма (</w:t>
            </w:r>
            <w:r w:rsidRPr="00B068BF">
              <w:rPr>
                <w:rFonts w:ascii="Times New Roman" w:hAnsi="Times New Roman" w:cs="Times New Roman"/>
                <w:b/>
                <w:color w:val="000000"/>
                <w:lang w:val="ru-RU"/>
              </w:rPr>
              <w:t>драм</w:t>
            </w:r>
            <w:r w:rsidRPr="00B068BF">
              <w:rPr>
                <w:rFonts w:ascii="Times New Roman" w:hAnsi="Times New Roman" w:cs="Times New Roman"/>
                <w:b/>
                <w:lang w:val="ru-RU"/>
              </w:rPr>
              <w:t>)</w:t>
            </w:r>
          </w:p>
        </w:tc>
        <w:tc>
          <w:tcPr>
            <w:tcW w:w="2430" w:type="dxa"/>
          </w:tcPr>
          <w:p w14:paraId="0B24E0DC" w14:textId="77777777" w:rsidR="009C0566" w:rsidRPr="00B068BF" w:rsidRDefault="009C0566" w:rsidP="00955B80">
            <w:pPr>
              <w:jc w:val="center"/>
              <w:rPr>
                <w:rFonts w:ascii="Times New Roman" w:hAnsi="Times New Roman" w:cs="Times New Roman"/>
                <w:b/>
                <w:lang w:val="ru-RU"/>
              </w:rPr>
            </w:pPr>
            <w:r w:rsidRPr="00B068BF">
              <w:rPr>
                <w:rFonts w:ascii="Times New Roman" w:hAnsi="Times New Roman" w:cs="Times New Roman"/>
                <w:b/>
                <w:lang w:val="ru-RU"/>
              </w:rPr>
              <w:t>1.133.000</w:t>
            </w:r>
          </w:p>
        </w:tc>
        <w:tc>
          <w:tcPr>
            <w:tcW w:w="2700" w:type="dxa"/>
          </w:tcPr>
          <w:p w14:paraId="20D30016" w14:textId="77777777" w:rsidR="009C0566" w:rsidRPr="00B068BF" w:rsidRDefault="009C0566" w:rsidP="00955B80">
            <w:pPr>
              <w:jc w:val="center"/>
              <w:rPr>
                <w:rFonts w:ascii="Times New Roman" w:hAnsi="Times New Roman" w:cs="Times New Roman"/>
                <w:b/>
                <w:lang w:val="ru-RU"/>
              </w:rPr>
            </w:pPr>
            <w:r w:rsidRPr="00B068BF">
              <w:rPr>
                <w:rFonts w:ascii="Times New Roman" w:hAnsi="Times New Roman" w:cs="Times New Roman"/>
                <w:b/>
                <w:lang w:val="ru-RU"/>
              </w:rPr>
              <w:t>305.000</w:t>
            </w:r>
          </w:p>
        </w:tc>
      </w:tr>
    </w:tbl>
    <w:p w14:paraId="5E845878" w14:textId="77777777" w:rsidR="009C0566" w:rsidRPr="00B068BF" w:rsidRDefault="009C0566" w:rsidP="009C0566">
      <w:pPr>
        <w:spacing w:after="0" w:line="240" w:lineRule="auto"/>
        <w:rPr>
          <w:rFonts w:ascii="Times New Roman" w:hAnsi="Times New Roman" w:cs="Times New Roman"/>
          <w:sz w:val="24"/>
          <w:szCs w:val="24"/>
          <w:lang w:val="ru-RU"/>
        </w:rPr>
      </w:pPr>
    </w:p>
    <w:p w14:paraId="1642D5FA" w14:textId="77777777" w:rsidR="00014F3F" w:rsidRPr="00B068BF" w:rsidRDefault="00014F3F" w:rsidP="009C0566">
      <w:pPr>
        <w:spacing w:after="0" w:line="240" w:lineRule="auto"/>
        <w:jc w:val="center"/>
        <w:rPr>
          <w:rFonts w:ascii="Times New Roman" w:hAnsi="Times New Roman" w:cs="Times New Roman"/>
          <w:b/>
          <w:lang w:val="ru-RU"/>
        </w:rPr>
      </w:pPr>
    </w:p>
    <w:p w14:paraId="1D179E41" w14:textId="77777777" w:rsidR="009C0566" w:rsidRPr="00B068BF" w:rsidRDefault="009C0566" w:rsidP="009C0566">
      <w:pPr>
        <w:spacing w:after="0" w:line="240" w:lineRule="auto"/>
        <w:jc w:val="center"/>
        <w:rPr>
          <w:rFonts w:ascii="Times New Roman" w:hAnsi="Times New Roman" w:cs="Times New Roman"/>
          <w:b/>
          <w:sz w:val="24"/>
          <w:szCs w:val="24"/>
          <w:lang w:val="ru-RU"/>
        </w:rPr>
      </w:pPr>
      <w:r w:rsidRPr="00B068BF">
        <w:rPr>
          <w:rFonts w:ascii="Times New Roman" w:hAnsi="Times New Roman" w:cs="Times New Roman"/>
          <w:b/>
          <w:lang w:val="ru-RU"/>
        </w:rPr>
        <w:t>Центральный банк РА (монеты)</w:t>
      </w:r>
    </w:p>
    <w:p w14:paraId="2E1EF390" w14:textId="77777777" w:rsidR="009C0566" w:rsidRPr="00B068BF" w:rsidRDefault="009C0566" w:rsidP="009C0566">
      <w:pPr>
        <w:jc w:val="center"/>
        <w:rPr>
          <w:rFonts w:ascii="Times New Roman" w:hAnsi="Times New Roman" w:cs="Times New Roman"/>
          <w:sz w:val="24"/>
          <w:szCs w:val="24"/>
          <w:lang w:val="ru-RU"/>
        </w:rPr>
      </w:pPr>
      <w:r w:rsidRPr="00B068BF">
        <w:rPr>
          <w:rFonts w:ascii="Times New Roman" w:hAnsi="Times New Roman" w:cs="Times New Roman"/>
          <w:noProof/>
          <w:lang w:val="ru-RU" w:eastAsia="ru-RU"/>
        </w:rPr>
        <w:drawing>
          <wp:inline distT="0" distB="0" distL="0" distR="0" wp14:anchorId="74BE755F" wp14:editId="49A9A3B7">
            <wp:extent cx="3061252" cy="1414394"/>
            <wp:effectExtent l="0" t="0" r="6350" b="14605"/>
            <wp:docPr id="67" name="Chart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7472ADE1" w14:textId="77777777" w:rsidR="00014F3F" w:rsidRPr="00B068BF" w:rsidRDefault="00014F3F" w:rsidP="009C0566">
      <w:pPr>
        <w:spacing w:after="0" w:line="240" w:lineRule="auto"/>
        <w:jc w:val="center"/>
        <w:rPr>
          <w:rFonts w:ascii="Times New Roman" w:hAnsi="Times New Roman" w:cs="Times New Roman"/>
          <w:b/>
          <w:lang w:val="ru-RU"/>
        </w:rPr>
      </w:pPr>
    </w:p>
    <w:p w14:paraId="6E859762" w14:textId="77777777" w:rsidR="009C0566" w:rsidRPr="00B068BF" w:rsidRDefault="009C0566" w:rsidP="009C0566">
      <w:pPr>
        <w:spacing w:after="0" w:line="240" w:lineRule="auto"/>
        <w:jc w:val="center"/>
        <w:rPr>
          <w:rFonts w:ascii="Times New Roman" w:hAnsi="Times New Roman" w:cs="Times New Roman"/>
          <w:b/>
          <w:lang w:val="ru-RU"/>
        </w:rPr>
      </w:pPr>
      <w:r w:rsidRPr="00B068BF">
        <w:rPr>
          <w:rFonts w:ascii="Times New Roman" w:hAnsi="Times New Roman" w:cs="Times New Roman"/>
          <w:b/>
          <w:lang w:val="ru-RU"/>
        </w:rPr>
        <w:t>Центральный банк РА (банкноты)</w:t>
      </w:r>
    </w:p>
    <w:p w14:paraId="160D742E" w14:textId="77777777" w:rsidR="009C0566" w:rsidRPr="00B068BF" w:rsidRDefault="009C0566" w:rsidP="009C0566">
      <w:pPr>
        <w:jc w:val="center"/>
        <w:rPr>
          <w:rFonts w:ascii="Times New Roman" w:hAnsi="Times New Roman" w:cs="Times New Roman"/>
          <w:sz w:val="24"/>
          <w:szCs w:val="24"/>
          <w:lang w:val="ru-RU"/>
        </w:rPr>
      </w:pPr>
      <w:r w:rsidRPr="00B068BF">
        <w:rPr>
          <w:rFonts w:ascii="Times New Roman" w:hAnsi="Times New Roman" w:cs="Times New Roman"/>
          <w:noProof/>
          <w:lang w:val="ru-RU" w:eastAsia="ru-RU"/>
        </w:rPr>
        <w:drawing>
          <wp:inline distT="0" distB="0" distL="0" distR="0" wp14:anchorId="0BFA7408" wp14:editId="22421480">
            <wp:extent cx="3260035" cy="1565992"/>
            <wp:effectExtent l="0" t="0" r="17145" b="1524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1D2EB9A4" w14:textId="77777777" w:rsidR="009C0566" w:rsidRPr="00B068BF" w:rsidRDefault="009C0566" w:rsidP="009C0566">
      <w:pPr>
        <w:tabs>
          <w:tab w:val="left" w:pos="1465"/>
        </w:tabs>
        <w:spacing w:after="0" w:line="240" w:lineRule="auto"/>
        <w:rPr>
          <w:rFonts w:ascii="Times New Roman" w:hAnsi="Times New Roman" w:cs="Times New Roman"/>
          <w:sz w:val="24"/>
          <w:szCs w:val="24"/>
          <w:lang w:val="ru-RU"/>
        </w:rPr>
      </w:pPr>
      <w:r w:rsidRPr="00B068BF">
        <w:rPr>
          <w:rFonts w:ascii="Times New Roman" w:hAnsi="Times New Roman" w:cs="Times New Roman"/>
          <w:sz w:val="24"/>
          <w:szCs w:val="24"/>
          <w:lang w:val="ru-RU"/>
        </w:rPr>
        <w:tab/>
      </w:r>
    </w:p>
    <w:p w14:paraId="24949382" w14:textId="77777777" w:rsidR="008E1AD2" w:rsidRPr="00B068BF" w:rsidRDefault="008E1AD2" w:rsidP="009C0566">
      <w:pPr>
        <w:tabs>
          <w:tab w:val="left" w:pos="1465"/>
        </w:tabs>
        <w:spacing w:after="0" w:line="240" w:lineRule="auto"/>
        <w:rPr>
          <w:rFonts w:ascii="Times New Roman" w:hAnsi="Times New Roman" w:cs="Times New Roman"/>
          <w:sz w:val="24"/>
          <w:szCs w:val="24"/>
          <w:lang w:val="ru-RU"/>
        </w:rPr>
      </w:pPr>
    </w:p>
    <w:p w14:paraId="72EBAE47" w14:textId="69D3631D" w:rsidR="008E1AD2" w:rsidRDefault="008E1AD2" w:rsidP="009C0566">
      <w:pPr>
        <w:tabs>
          <w:tab w:val="left" w:pos="1465"/>
        </w:tabs>
        <w:spacing w:after="0" w:line="240" w:lineRule="auto"/>
        <w:rPr>
          <w:rFonts w:ascii="Times New Roman" w:hAnsi="Times New Roman" w:cs="Times New Roman"/>
          <w:sz w:val="24"/>
          <w:szCs w:val="24"/>
          <w:lang w:val="ru-RU"/>
        </w:rPr>
      </w:pPr>
    </w:p>
    <w:p w14:paraId="6D8E447F" w14:textId="05E6AABC" w:rsidR="00AE2FCB" w:rsidRDefault="00AE2FCB" w:rsidP="009C0566">
      <w:pPr>
        <w:tabs>
          <w:tab w:val="left" w:pos="1465"/>
        </w:tabs>
        <w:spacing w:after="0" w:line="240" w:lineRule="auto"/>
        <w:rPr>
          <w:rFonts w:ascii="Times New Roman" w:hAnsi="Times New Roman" w:cs="Times New Roman"/>
          <w:sz w:val="24"/>
          <w:szCs w:val="24"/>
          <w:lang w:val="ru-RU"/>
        </w:rPr>
      </w:pPr>
    </w:p>
    <w:p w14:paraId="7D30A5AA" w14:textId="4E5073E0" w:rsidR="00AE2FCB" w:rsidRDefault="00AE2FCB" w:rsidP="009C0566">
      <w:pPr>
        <w:tabs>
          <w:tab w:val="left" w:pos="1465"/>
        </w:tabs>
        <w:spacing w:after="0" w:line="240" w:lineRule="auto"/>
        <w:rPr>
          <w:rFonts w:ascii="Times New Roman" w:hAnsi="Times New Roman" w:cs="Times New Roman"/>
          <w:sz w:val="24"/>
          <w:szCs w:val="24"/>
          <w:lang w:val="ru-RU"/>
        </w:rPr>
      </w:pPr>
    </w:p>
    <w:p w14:paraId="7F7A41CC" w14:textId="103B1EC1" w:rsidR="00AE2FCB" w:rsidRDefault="00AE2FCB" w:rsidP="009C0566">
      <w:pPr>
        <w:tabs>
          <w:tab w:val="left" w:pos="1465"/>
        </w:tabs>
        <w:spacing w:after="0" w:line="240" w:lineRule="auto"/>
        <w:rPr>
          <w:rFonts w:ascii="Times New Roman" w:hAnsi="Times New Roman" w:cs="Times New Roman"/>
          <w:sz w:val="24"/>
          <w:szCs w:val="24"/>
          <w:lang w:val="ru-RU"/>
        </w:rPr>
      </w:pPr>
    </w:p>
    <w:p w14:paraId="47179E77" w14:textId="77777777" w:rsidR="00AE2FCB" w:rsidRPr="00B068BF" w:rsidRDefault="00AE2FCB" w:rsidP="009C0566">
      <w:pPr>
        <w:tabs>
          <w:tab w:val="left" w:pos="1465"/>
        </w:tabs>
        <w:spacing w:after="0" w:line="240" w:lineRule="auto"/>
        <w:rPr>
          <w:rFonts w:ascii="Times New Roman" w:hAnsi="Times New Roman" w:cs="Times New Roman"/>
          <w:sz w:val="24"/>
          <w:szCs w:val="24"/>
          <w:lang w:val="ru-RU"/>
        </w:rPr>
      </w:pPr>
    </w:p>
    <w:p w14:paraId="5689C1A4" w14:textId="77777777" w:rsidR="009C0566" w:rsidRPr="00B068BF" w:rsidRDefault="009C0566" w:rsidP="009C0566">
      <w:pPr>
        <w:tabs>
          <w:tab w:val="left" w:pos="1465"/>
        </w:tabs>
        <w:spacing w:after="0" w:line="240" w:lineRule="auto"/>
        <w:jc w:val="center"/>
        <w:rPr>
          <w:rFonts w:ascii="Times New Roman" w:hAnsi="Times New Roman" w:cs="Times New Roman"/>
          <w:b/>
          <w:lang w:val="ru-RU"/>
        </w:rPr>
      </w:pPr>
      <w:r w:rsidRPr="00B068BF">
        <w:rPr>
          <w:rFonts w:ascii="Times New Roman" w:hAnsi="Times New Roman" w:cs="Times New Roman"/>
          <w:b/>
          <w:lang w:val="ru-RU"/>
        </w:rPr>
        <w:lastRenderedPageBreak/>
        <w:t>Количество</w:t>
      </w:r>
      <w:r w:rsidRPr="00B068BF">
        <w:rPr>
          <w:rFonts w:ascii="Times New Roman" w:hAnsi="Times New Roman" w:cs="Times New Roman"/>
          <w:lang w:val="ru-RU"/>
        </w:rPr>
        <w:t xml:space="preserve"> </w:t>
      </w:r>
      <w:r w:rsidRPr="00B068BF">
        <w:rPr>
          <w:rFonts w:ascii="Times New Roman" w:hAnsi="Times New Roman" w:cs="Times New Roman"/>
          <w:b/>
          <w:lang w:val="ru-RU"/>
        </w:rPr>
        <w:t>выявленных в</w:t>
      </w:r>
      <w:r w:rsidRPr="00B068BF">
        <w:rPr>
          <w:rFonts w:ascii="Times New Roman" w:hAnsi="Times New Roman" w:cs="Times New Roman"/>
          <w:lang w:val="ru-RU"/>
        </w:rPr>
        <w:t xml:space="preserve"> </w:t>
      </w:r>
      <w:r w:rsidRPr="00B068BF">
        <w:rPr>
          <w:rFonts w:ascii="Times New Roman" w:hAnsi="Times New Roman" w:cs="Times New Roman"/>
          <w:b/>
          <w:lang w:val="ru-RU"/>
        </w:rPr>
        <w:t>ЦБ Республики Армения поддельных банкнот и монет</w:t>
      </w:r>
    </w:p>
    <w:p w14:paraId="7DD6A77C" w14:textId="77777777" w:rsidR="009C0566" w:rsidRPr="00B068BF" w:rsidRDefault="009C0566" w:rsidP="009C0566">
      <w:pPr>
        <w:tabs>
          <w:tab w:val="left" w:pos="1465"/>
        </w:tabs>
        <w:spacing w:after="0" w:line="240" w:lineRule="auto"/>
        <w:jc w:val="center"/>
        <w:rPr>
          <w:rFonts w:ascii="Times New Roman" w:hAnsi="Times New Roman" w:cs="Times New Roman"/>
          <w:lang w:val="ru-RU"/>
        </w:rPr>
      </w:pPr>
      <w:r w:rsidRPr="00B068BF">
        <w:rPr>
          <w:rFonts w:ascii="Times New Roman" w:hAnsi="Times New Roman" w:cs="Times New Roman"/>
          <w:b/>
          <w:lang w:val="ru-RU"/>
        </w:rPr>
        <w:t>по месяцам</w:t>
      </w:r>
    </w:p>
    <w:p w14:paraId="2EE44A5E" w14:textId="77777777" w:rsidR="009C0566" w:rsidRPr="00B068BF" w:rsidRDefault="009C0566" w:rsidP="007A7ED2">
      <w:pPr>
        <w:tabs>
          <w:tab w:val="left" w:pos="2488"/>
        </w:tabs>
        <w:jc w:val="center"/>
        <w:rPr>
          <w:rFonts w:ascii="Times New Roman" w:hAnsi="Times New Roman" w:cs="Times New Roman"/>
          <w:sz w:val="24"/>
          <w:szCs w:val="24"/>
          <w:lang w:val="ru-RU"/>
        </w:rPr>
      </w:pPr>
      <w:r w:rsidRPr="00B068BF">
        <w:rPr>
          <w:rFonts w:ascii="Times New Roman" w:hAnsi="Times New Roman" w:cs="Times New Roman"/>
          <w:noProof/>
          <w:sz w:val="24"/>
          <w:szCs w:val="24"/>
          <w:lang w:val="ru-RU" w:eastAsia="ru-RU"/>
        </w:rPr>
        <w:drawing>
          <wp:inline distT="0" distB="0" distL="0" distR="0" wp14:anchorId="5C1931D0" wp14:editId="4D98E50F">
            <wp:extent cx="5287618" cy="2257618"/>
            <wp:effectExtent l="0" t="0" r="8890" b="9525"/>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0705B79E" w14:textId="77777777" w:rsidR="008E1AD2" w:rsidRPr="00B068BF" w:rsidRDefault="008E1AD2" w:rsidP="009C0566">
      <w:pPr>
        <w:tabs>
          <w:tab w:val="left" w:pos="2488"/>
        </w:tabs>
        <w:spacing w:after="0" w:line="240" w:lineRule="auto"/>
        <w:jc w:val="center"/>
        <w:rPr>
          <w:rFonts w:ascii="Times New Roman" w:hAnsi="Times New Roman" w:cs="Times New Roman"/>
          <w:b/>
          <w:lang w:val="ru-RU"/>
        </w:rPr>
      </w:pPr>
    </w:p>
    <w:p w14:paraId="0161D61C" w14:textId="77777777" w:rsidR="009C0566" w:rsidRPr="00B068BF" w:rsidRDefault="009C0566" w:rsidP="009C0566">
      <w:pPr>
        <w:tabs>
          <w:tab w:val="left" w:pos="2488"/>
        </w:tabs>
        <w:spacing w:after="0" w:line="240" w:lineRule="auto"/>
        <w:jc w:val="center"/>
        <w:rPr>
          <w:rFonts w:ascii="Times New Roman" w:hAnsi="Times New Roman" w:cs="Times New Roman"/>
          <w:lang w:val="ru-RU"/>
        </w:rPr>
      </w:pPr>
      <w:r w:rsidRPr="00B068BF">
        <w:rPr>
          <w:rFonts w:ascii="Times New Roman" w:hAnsi="Times New Roman" w:cs="Times New Roman"/>
          <w:b/>
          <w:lang w:val="ru-RU"/>
        </w:rPr>
        <w:t>Коммерческие банки Республики Армения (банкноты)</w:t>
      </w:r>
    </w:p>
    <w:p w14:paraId="215F9C02" w14:textId="77777777" w:rsidR="009C0566" w:rsidRPr="00B068BF" w:rsidRDefault="009C0566" w:rsidP="009C0566">
      <w:pPr>
        <w:tabs>
          <w:tab w:val="left" w:pos="2488"/>
        </w:tabs>
        <w:jc w:val="center"/>
        <w:rPr>
          <w:rFonts w:ascii="Times New Roman" w:hAnsi="Times New Roman" w:cs="Times New Roman"/>
          <w:sz w:val="24"/>
          <w:szCs w:val="24"/>
          <w:lang w:val="ru-RU"/>
        </w:rPr>
      </w:pPr>
      <w:r w:rsidRPr="00B068BF">
        <w:rPr>
          <w:rFonts w:ascii="Times New Roman" w:hAnsi="Times New Roman" w:cs="Times New Roman"/>
          <w:noProof/>
          <w:lang w:val="ru-RU" w:eastAsia="ru-RU"/>
        </w:rPr>
        <w:drawing>
          <wp:inline distT="0" distB="0" distL="0" distR="0" wp14:anchorId="7D984AE2" wp14:editId="567DC985">
            <wp:extent cx="4460682" cy="1621956"/>
            <wp:effectExtent l="0" t="0" r="16510" b="1651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6BF0B62B" w14:textId="77777777" w:rsidR="009C0566" w:rsidRPr="00B068BF" w:rsidRDefault="009C0566" w:rsidP="009C0566">
      <w:pPr>
        <w:tabs>
          <w:tab w:val="left" w:pos="2488"/>
        </w:tabs>
        <w:spacing w:after="0" w:line="240" w:lineRule="auto"/>
        <w:ind w:firstLine="36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Основных способов подделки армянских банкнот несколько:</w:t>
      </w:r>
    </w:p>
    <w:p w14:paraId="0C8972DE" w14:textId="77777777" w:rsidR="009C0566" w:rsidRPr="00B068BF" w:rsidRDefault="009C0566" w:rsidP="009C0566">
      <w:pPr>
        <w:pStyle w:val="a3"/>
        <w:numPr>
          <w:ilvl w:val="0"/>
          <w:numId w:val="21"/>
        </w:numPr>
        <w:tabs>
          <w:tab w:val="left" w:pos="2488"/>
        </w:tabs>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С подлинных банкнот удалены кинеграммы и на их месте наклеены поддельные кинеграммы, на которых изображение нанесено методом лазерной печати.</w:t>
      </w:r>
    </w:p>
    <w:p w14:paraId="1008656D" w14:textId="77777777" w:rsidR="009C0566" w:rsidRPr="00B068BF" w:rsidRDefault="009C0566" w:rsidP="009C0566">
      <w:pPr>
        <w:pStyle w:val="a3"/>
        <w:numPr>
          <w:ilvl w:val="0"/>
          <w:numId w:val="21"/>
        </w:numPr>
        <w:tabs>
          <w:tab w:val="left" w:pos="2488"/>
        </w:tabs>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На поддельных банкнотах наклеены кинеграммы, удаленные с подлинных банкнот разных номиналов.</w:t>
      </w:r>
    </w:p>
    <w:p w14:paraId="2D27B19C" w14:textId="77777777" w:rsidR="009C0566" w:rsidRPr="00B068BF" w:rsidRDefault="009C0566" w:rsidP="009C0566">
      <w:pPr>
        <w:pStyle w:val="a3"/>
        <w:numPr>
          <w:ilvl w:val="0"/>
          <w:numId w:val="21"/>
        </w:numPr>
        <w:tabs>
          <w:tab w:val="left" w:pos="2488"/>
        </w:tabs>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Банкноты номиналом 2000 и 5000 драм выпуска 2018 г. (на композитной подложке) расслаиваются на лицевую и оборотную стороны, после чего на одну из сторон наклеивается бумага с поддельным изображением противоположной стороны, напечатанной способом цветной струйной печати.</w:t>
      </w:r>
    </w:p>
    <w:p w14:paraId="66D56B30" w14:textId="77777777" w:rsidR="00A7203D" w:rsidRPr="00B068BF" w:rsidRDefault="00A7203D" w:rsidP="00D6459F">
      <w:pPr>
        <w:tabs>
          <w:tab w:val="left" w:pos="851"/>
        </w:tabs>
        <w:spacing w:after="0" w:line="240" w:lineRule="auto"/>
        <w:jc w:val="both"/>
        <w:rPr>
          <w:rFonts w:ascii="Times New Roman" w:hAnsi="Times New Roman" w:cs="Times New Roman"/>
          <w:sz w:val="24"/>
          <w:szCs w:val="24"/>
          <w:lang w:val="ru-RU"/>
        </w:rPr>
      </w:pPr>
    </w:p>
    <w:p w14:paraId="247DEF26" w14:textId="77777777" w:rsidR="00A7203D" w:rsidRPr="00B068BF" w:rsidRDefault="00A7203D" w:rsidP="00D6459F">
      <w:pPr>
        <w:pStyle w:val="a3"/>
        <w:numPr>
          <w:ilvl w:val="0"/>
          <w:numId w:val="5"/>
        </w:numPr>
        <w:tabs>
          <w:tab w:val="left" w:pos="851"/>
        </w:tabs>
        <w:spacing w:after="0" w:line="240" w:lineRule="auto"/>
        <w:jc w:val="both"/>
        <w:rPr>
          <w:rFonts w:ascii="Times New Roman" w:hAnsi="Times New Roman" w:cs="Times New Roman"/>
          <w:b/>
          <w:sz w:val="24"/>
          <w:szCs w:val="24"/>
          <w:lang w:val="ru-RU"/>
        </w:rPr>
      </w:pPr>
      <w:r w:rsidRPr="00B068BF">
        <w:rPr>
          <w:rFonts w:ascii="Times New Roman" w:hAnsi="Times New Roman" w:cs="Times New Roman"/>
          <w:b/>
          <w:sz w:val="24"/>
          <w:szCs w:val="24"/>
          <w:lang w:val="ru-RU"/>
        </w:rPr>
        <w:t xml:space="preserve">Национальный банк </w:t>
      </w:r>
      <w:r w:rsidR="00D6459F" w:rsidRPr="00B068BF">
        <w:rPr>
          <w:rFonts w:ascii="Times New Roman" w:hAnsi="Times New Roman" w:cs="Times New Roman"/>
          <w:b/>
          <w:sz w:val="24"/>
          <w:szCs w:val="24"/>
          <w:lang w:val="ru-RU"/>
        </w:rPr>
        <w:t xml:space="preserve">Республики </w:t>
      </w:r>
      <w:r w:rsidRPr="00B068BF">
        <w:rPr>
          <w:rFonts w:ascii="Times New Roman" w:hAnsi="Times New Roman" w:cs="Times New Roman"/>
          <w:b/>
          <w:sz w:val="24"/>
          <w:szCs w:val="24"/>
          <w:lang w:val="ru-RU"/>
        </w:rPr>
        <w:t>Беларус</w:t>
      </w:r>
      <w:r w:rsidR="00D6459F" w:rsidRPr="00B068BF">
        <w:rPr>
          <w:rFonts w:ascii="Times New Roman" w:hAnsi="Times New Roman" w:cs="Times New Roman"/>
          <w:b/>
          <w:sz w:val="24"/>
          <w:szCs w:val="24"/>
          <w:lang w:val="ru-RU"/>
        </w:rPr>
        <w:t>ь</w:t>
      </w:r>
    </w:p>
    <w:p w14:paraId="0E4C4F10" w14:textId="77777777" w:rsidR="009C0566" w:rsidRPr="00B068BF" w:rsidRDefault="009C0566" w:rsidP="009C0566">
      <w:pPr>
        <w:pStyle w:val="a8"/>
        <w:ind w:firstLine="270"/>
        <w:jc w:val="both"/>
        <w:rPr>
          <w:noProof/>
          <w:sz w:val="24"/>
          <w:szCs w:val="24"/>
          <w:lang w:val="ru-RU"/>
        </w:rPr>
      </w:pPr>
      <w:r w:rsidRPr="00B068BF">
        <w:rPr>
          <w:noProof/>
          <w:sz w:val="24"/>
          <w:szCs w:val="24"/>
          <w:lang w:val="ru-RU"/>
        </w:rPr>
        <w:t>В 2022 году в банковской системе Республики Беларусь было выявлено 894 поддельных денежных знака, из которых 891 – банкноты, 3</w:t>
      </w:r>
      <w:r w:rsidRPr="00B068BF">
        <w:rPr>
          <w:noProof/>
          <w:sz w:val="24"/>
          <w:szCs w:val="24"/>
        </w:rPr>
        <w:t> </w:t>
      </w:r>
      <w:r w:rsidRPr="00B068BF">
        <w:rPr>
          <w:noProof/>
          <w:sz w:val="24"/>
          <w:szCs w:val="24"/>
          <w:lang w:val="ru-RU"/>
        </w:rPr>
        <w:t>– монеты (2</w:t>
      </w:r>
      <w:r w:rsidRPr="00B068BF">
        <w:rPr>
          <w:noProof/>
          <w:sz w:val="24"/>
          <w:szCs w:val="24"/>
        </w:rPr>
        <w:t> </w:t>
      </w:r>
      <w:r w:rsidRPr="00B068BF">
        <w:rPr>
          <w:noProof/>
          <w:sz w:val="24"/>
          <w:szCs w:val="24"/>
          <w:lang w:val="ru-RU"/>
        </w:rPr>
        <w:t>евро).</w:t>
      </w:r>
    </w:p>
    <w:p w14:paraId="2081CC84" w14:textId="77777777" w:rsidR="009C0566" w:rsidRPr="00B068BF" w:rsidRDefault="009C0566" w:rsidP="009C0566">
      <w:pPr>
        <w:pStyle w:val="a8"/>
        <w:ind w:firstLine="270"/>
        <w:jc w:val="both"/>
        <w:rPr>
          <w:noProof/>
          <w:sz w:val="24"/>
          <w:szCs w:val="24"/>
          <w:lang w:val="ru-RU"/>
        </w:rPr>
      </w:pPr>
      <w:r w:rsidRPr="00B068BF">
        <w:rPr>
          <w:noProof/>
          <w:sz w:val="24"/>
          <w:szCs w:val="24"/>
          <w:lang w:val="ru-RU"/>
        </w:rPr>
        <w:t>Основное количество выявленных поддельных денежных знаков составили доллары США – 752 штуки (84,1%). Поддельных российских рублей выявлено 76</w:t>
      </w:r>
      <w:r w:rsidRPr="00B068BF">
        <w:rPr>
          <w:noProof/>
          <w:sz w:val="24"/>
          <w:szCs w:val="24"/>
        </w:rPr>
        <w:t> </w:t>
      </w:r>
      <w:r w:rsidRPr="00B068BF">
        <w:rPr>
          <w:noProof/>
          <w:sz w:val="24"/>
          <w:szCs w:val="24"/>
          <w:lang w:val="ru-RU"/>
        </w:rPr>
        <w:t>штук (8,5%), евро – 50 штук (5,6%), белорусских рублей – 12 штук (1,3%), иных (злотые и фунты стерлингов) – 4 штуки (0,4%).</w:t>
      </w:r>
    </w:p>
    <w:p w14:paraId="2E8FA42B" w14:textId="77777777" w:rsidR="009C0566" w:rsidRPr="00B068BF" w:rsidRDefault="009C0566" w:rsidP="009C0566">
      <w:pPr>
        <w:pStyle w:val="a8"/>
        <w:ind w:left="630"/>
        <w:rPr>
          <w:noProof/>
          <w:sz w:val="24"/>
          <w:szCs w:val="24"/>
          <w:lang w:val="ru-RU"/>
        </w:rPr>
      </w:pPr>
    </w:p>
    <w:p w14:paraId="5799D2A5" w14:textId="77777777" w:rsidR="009C0566" w:rsidRPr="00B068BF" w:rsidRDefault="009C0566" w:rsidP="009C0566">
      <w:pPr>
        <w:pStyle w:val="a8"/>
        <w:ind w:left="630"/>
        <w:rPr>
          <w:noProof/>
          <w:sz w:val="24"/>
          <w:szCs w:val="24"/>
        </w:rPr>
      </w:pPr>
      <w:r w:rsidRPr="00B068BF">
        <w:rPr>
          <w:noProof/>
          <w:sz w:val="24"/>
          <w:szCs w:val="24"/>
          <w:lang w:val="ru-RU" w:eastAsia="ru-RU"/>
        </w:rPr>
        <w:lastRenderedPageBreak/>
        <w:drawing>
          <wp:inline distT="0" distB="0" distL="0" distR="0" wp14:anchorId="32A8D240" wp14:editId="1196C069">
            <wp:extent cx="4911843" cy="2392128"/>
            <wp:effectExtent l="0" t="0" r="3175" b="8255"/>
            <wp:docPr id="6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922812" cy="2397470"/>
                    </a:xfrm>
                    <a:prstGeom prst="rect">
                      <a:avLst/>
                    </a:prstGeom>
                    <a:noFill/>
                    <a:ln>
                      <a:noFill/>
                    </a:ln>
                  </pic:spPr>
                </pic:pic>
              </a:graphicData>
            </a:graphic>
          </wp:inline>
        </w:drawing>
      </w:r>
    </w:p>
    <w:p w14:paraId="4332F9A7" w14:textId="77777777" w:rsidR="009C0566" w:rsidRPr="00B068BF" w:rsidRDefault="009C0566" w:rsidP="009C0566">
      <w:pPr>
        <w:pStyle w:val="a3"/>
        <w:tabs>
          <w:tab w:val="left" w:pos="7260"/>
        </w:tabs>
        <w:spacing w:after="0" w:line="240" w:lineRule="auto"/>
        <w:ind w:left="630"/>
        <w:jc w:val="center"/>
        <w:rPr>
          <w:rFonts w:ascii="Times New Roman" w:hAnsi="Times New Roman" w:cs="Times New Roman"/>
          <w:noProof/>
          <w:sz w:val="24"/>
          <w:szCs w:val="24"/>
          <w:lang w:val="ru-RU"/>
        </w:rPr>
      </w:pPr>
      <w:r w:rsidRPr="00B068BF">
        <w:rPr>
          <w:rFonts w:ascii="Times New Roman" w:hAnsi="Times New Roman" w:cs="Times New Roman"/>
          <w:noProof/>
          <w:sz w:val="24"/>
          <w:szCs w:val="24"/>
          <w:lang w:val="ru-RU"/>
        </w:rPr>
        <w:t>Распределение выявленных поддельных денежных знаков по видам валют, шт.</w:t>
      </w:r>
    </w:p>
    <w:p w14:paraId="15A06339" w14:textId="77777777" w:rsidR="009C0566" w:rsidRPr="00B068BF" w:rsidRDefault="009C0566" w:rsidP="009C0566">
      <w:pPr>
        <w:pStyle w:val="a3"/>
        <w:tabs>
          <w:tab w:val="left" w:pos="709"/>
        </w:tabs>
        <w:spacing w:after="0" w:line="240" w:lineRule="auto"/>
        <w:ind w:left="630"/>
        <w:jc w:val="both"/>
        <w:rPr>
          <w:rFonts w:ascii="Times New Roman" w:hAnsi="Times New Roman" w:cs="Times New Roman"/>
          <w:noProof/>
          <w:sz w:val="24"/>
          <w:szCs w:val="24"/>
          <w:lang w:val="ru-RU"/>
        </w:rPr>
      </w:pPr>
    </w:p>
    <w:p w14:paraId="450B363B" w14:textId="77777777" w:rsidR="009C0566" w:rsidRPr="00B068BF" w:rsidRDefault="009C0566" w:rsidP="009C0566">
      <w:pPr>
        <w:tabs>
          <w:tab w:val="left" w:pos="360"/>
        </w:tabs>
        <w:spacing w:after="0" w:line="240" w:lineRule="auto"/>
        <w:ind w:firstLine="36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 xml:space="preserve">В </w:t>
      </w:r>
      <w:r w:rsidRPr="00B068BF">
        <w:rPr>
          <w:rFonts w:ascii="Times New Roman" w:hAnsi="Times New Roman" w:cs="Times New Roman"/>
          <w:noProof/>
          <w:sz w:val="24"/>
          <w:szCs w:val="24"/>
          <w:lang w:val="ru-RU"/>
        </w:rPr>
        <w:t xml:space="preserve">2022 году </w:t>
      </w:r>
      <w:r w:rsidRPr="00B068BF">
        <w:rPr>
          <w:rFonts w:ascii="Times New Roman" w:hAnsi="Times New Roman" w:cs="Times New Roman"/>
          <w:sz w:val="24"/>
          <w:szCs w:val="24"/>
          <w:lang w:val="ru-RU"/>
        </w:rPr>
        <w:t xml:space="preserve">в сравнении с 2021 годом </w:t>
      </w:r>
      <w:r w:rsidRPr="00B068BF">
        <w:rPr>
          <w:rFonts w:ascii="Times New Roman" w:hAnsi="Times New Roman" w:cs="Times New Roman"/>
          <w:noProof/>
          <w:sz w:val="24"/>
          <w:szCs w:val="24"/>
          <w:lang w:val="ru-RU"/>
        </w:rPr>
        <w:t>общее количество выявленных поддельных денежных знаков увеличилось на 9,0%.</w:t>
      </w:r>
      <w:r w:rsidRPr="00B068BF">
        <w:rPr>
          <w:rFonts w:ascii="Times New Roman" w:hAnsi="Times New Roman" w:cs="Times New Roman"/>
          <w:sz w:val="24"/>
          <w:szCs w:val="24"/>
          <w:lang w:val="ru-RU"/>
        </w:rPr>
        <w:t xml:space="preserve"> </w:t>
      </w:r>
      <w:r w:rsidRPr="00B068BF">
        <w:rPr>
          <w:rFonts w:ascii="Times New Roman" w:hAnsi="Times New Roman" w:cs="Times New Roman"/>
          <w:noProof/>
          <w:sz w:val="24"/>
          <w:szCs w:val="24"/>
          <w:lang w:val="ru-RU"/>
        </w:rPr>
        <w:t xml:space="preserve">Количество подделок </w:t>
      </w:r>
      <w:r w:rsidRPr="00B068BF">
        <w:rPr>
          <w:rFonts w:ascii="Times New Roman" w:hAnsi="Times New Roman" w:cs="Times New Roman"/>
          <w:sz w:val="24"/>
          <w:szCs w:val="24"/>
          <w:lang w:val="ru-RU"/>
        </w:rPr>
        <w:t xml:space="preserve">долларов США </w:t>
      </w:r>
      <w:r w:rsidRPr="00B068BF">
        <w:rPr>
          <w:rFonts w:ascii="Times New Roman" w:hAnsi="Times New Roman" w:cs="Times New Roman"/>
          <w:noProof/>
          <w:sz w:val="24"/>
          <w:szCs w:val="24"/>
          <w:lang w:val="ru-RU"/>
        </w:rPr>
        <w:t xml:space="preserve">увеличилось </w:t>
      </w:r>
      <w:r w:rsidRPr="00B068BF">
        <w:rPr>
          <w:rFonts w:ascii="Times New Roman" w:hAnsi="Times New Roman" w:cs="Times New Roman"/>
          <w:sz w:val="24"/>
          <w:szCs w:val="24"/>
          <w:lang w:val="ru-RU"/>
        </w:rPr>
        <w:t xml:space="preserve">на 69,0%, российских рублей и евро уменьшилось на 74,1% и 27,5% соответственно. </w:t>
      </w:r>
      <w:r w:rsidRPr="00B068BF">
        <w:rPr>
          <w:rFonts w:ascii="Times New Roman" w:hAnsi="Times New Roman" w:cs="Times New Roman"/>
          <w:noProof/>
          <w:sz w:val="24"/>
          <w:szCs w:val="24"/>
          <w:lang w:val="ru-RU"/>
        </w:rPr>
        <w:t xml:space="preserve">Количество подделок </w:t>
      </w:r>
      <w:r w:rsidRPr="00B068BF">
        <w:rPr>
          <w:rFonts w:ascii="Times New Roman" w:hAnsi="Times New Roman" w:cs="Times New Roman"/>
          <w:sz w:val="24"/>
          <w:szCs w:val="24"/>
          <w:lang w:val="ru-RU"/>
        </w:rPr>
        <w:t>белорусских рублей увеличилось в абсолютном выражении на 3 штуки.</w:t>
      </w:r>
    </w:p>
    <w:p w14:paraId="5A2C5BEF" w14:textId="77777777" w:rsidR="009C0566" w:rsidRPr="00B068BF" w:rsidRDefault="009C0566" w:rsidP="009C0566">
      <w:pPr>
        <w:pStyle w:val="a8"/>
        <w:ind w:firstLine="360"/>
        <w:jc w:val="both"/>
        <w:rPr>
          <w:sz w:val="24"/>
          <w:szCs w:val="24"/>
          <w:lang w:val="ru-RU"/>
        </w:rPr>
      </w:pPr>
      <w:r w:rsidRPr="00B068BF">
        <w:rPr>
          <w:sz w:val="24"/>
          <w:szCs w:val="24"/>
          <w:lang w:val="ru-RU"/>
        </w:rPr>
        <w:t>В г.</w:t>
      </w:r>
      <w:r w:rsidRPr="00B068BF">
        <w:rPr>
          <w:sz w:val="24"/>
          <w:szCs w:val="24"/>
        </w:rPr>
        <w:t> </w:t>
      </w:r>
      <w:r w:rsidRPr="00B068BF">
        <w:rPr>
          <w:sz w:val="24"/>
          <w:szCs w:val="24"/>
          <w:lang w:val="ru-RU"/>
        </w:rPr>
        <w:t>Минске выявлено 63,4% всех поддельных денежных знаков, в областях республики – в пределах 3,6-9,5%.</w:t>
      </w:r>
    </w:p>
    <w:p w14:paraId="72CFCC3E" w14:textId="77777777" w:rsidR="009C0566" w:rsidRPr="00B068BF" w:rsidRDefault="009C0566" w:rsidP="009C0566">
      <w:pPr>
        <w:pStyle w:val="a8"/>
        <w:ind w:firstLine="360"/>
        <w:jc w:val="both"/>
        <w:rPr>
          <w:sz w:val="24"/>
          <w:szCs w:val="24"/>
          <w:lang w:val="ru-RU"/>
        </w:rPr>
      </w:pPr>
      <w:r w:rsidRPr="00B068BF">
        <w:rPr>
          <w:sz w:val="24"/>
          <w:szCs w:val="24"/>
          <w:lang w:val="ru-RU"/>
        </w:rPr>
        <w:t>В банкнотном строении поддельных долларов США преобладали банкноты номиналами 100 и 50 долларов США – 77,4% и 21,5% соответственно. К категории супер-подделок относились 8 банкнот номиналом 100</w:t>
      </w:r>
      <w:r w:rsidRPr="00B068BF">
        <w:rPr>
          <w:sz w:val="24"/>
          <w:szCs w:val="24"/>
        </w:rPr>
        <w:t> </w:t>
      </w:r>
      <w:r w:rsidRPr="00B068BF">
        <w:rPr>
          <w:sz w:val="24"/>
          <w:szCs w:val="24"/>
          <w:lang w:val="ru-RU"/>
        </w:rPr>
        <w:t xml:space="preserve">долларов США. </w:t>
      </w:r>
    </w:p>
    <w:p w14:paraId="28DB605C" w14:textId="77777777" w:rsidR="009C0566" w:rsidRPr="00B068BF" w:rsidRDefault="009C0566" w:rsidP="009C0566">
      <w:pPr>
        <w:pStyle w:val="a8"/>
        <w:ind w:firstLine="360"/>
        <w:jc w:val="both"/>
        <w:rPr>
          <w:sz w:val="24"/>
          <w:szCs w:val="24"/>
          <w:lang w:val="ru-RU"/>
        </w:rPr>
      </w:pPr>
      <w:r w:rsidRPr="00B068BF">
        <w:rPr>
          <w:sz w:val="24"/>
          <w:szCs w:val="24"/>
          <w:lang w:val="ru-RU"/>
        </w:rPr>
        <w:t>В 2022 году выявлены поддельные банкноты российских рублей номиналами 5000, 2000, 1000, 500 и 100</w:t>
      </w:r>
      <w:r w:rsidRPr="00B068BF">
        <w:rPr>
          <w:sz w:val="24"/>
          <w:szCs w:val="24"/>
        </w:rPr>
        <w:t> </w:t>
      </w:r>
      <w:r w:rsidRPr="00B068BF">
        <w:rPr>
          <w:sz w:val="24"/>
          <w:szCs w:val="24"/>
          <w:lang w:val="ru-RU"/>
        </w:rPr>
        <w:t>рублей. Основная доля пришлась на подделки банкнот номиналом 5000</w:t>
      </w:r>
      <w:r w:rsidRPr="00B068BF">
        <w:rPr>
          <w:sz w:val="24"/>
          <w:szCs w:val="24"/>
        </w:rPr>
        <w:t> </w:t>
      </w:r>
      <w:r w:rsidRPr="00B068BF">
        <w:rPr>
          <w:sz w:val="24"/>
          <w:szCs w:val="24"/>
          <w:lang w:val="ru-RU"/>
        </w:rPr>
        <w:t>рублей – 60,5%. Подделки банкнот номиналами 500 и 2000 рублей составили 15,8% и 14,5% соответственно.</w:t>
      </w:r>
    </w:p>
    <w:p w14:paraId="030C6A64" w14:textId="77777777" w:rsidR="009C0566" w:rsidRPr="00B068BF" w:rsidRDefault="009C0566" w:rsidP="009C0566">
      <w:pPr>
        <w:pStyle w:val="a8"/>
        <w:ind w:firstLine="360"/>
        <w:jc w:val="both"/>
        <w:rPr>
          <w:sz w:val="24"/>
          <w:szCs w:val="24"/>
          <w:lang w:val="ru-RU"/>
        </w:rPr>
      </w:pPr>
      <w:r w:rsidRPr="00B068BF">
        <w:rPr>
          <w:sz w:val="24"/>
          <w:szCs w:val="24"/>
          <w:lang w:val="ru-RU"/>
        </w:rPr>
        <w:t>Выявлялись поддельные банкноты евро всех номиналов кроме 5</w:t>
      </w:r>
      <w:r w:rsidRPr="00B068BF">
        <w:rPr>
          <w:sz w:val="24"/>
          <w:szCs w:val="24"/>
        </w:rPr>
        <w:t> </w:t>
      </w:r>
      <w:r w:rsidRPr="00B068BF">
        <w:rPr>
          <w:sz w:val="24"/>
          <w:szCs w:val="24"/>
          <w:lang w:val="ru-RU"/>
        </w:rPr>
        <w:t>евро. Все количество поддельных монет составили три монеты номиналом 2 евро. В банкнотном строении поддельных евро преобладали банкноты номиналом 50 евро – 40,0%, банкноты номиналом 100 и 20 евро составили 28,0% и 14,0% соответственно.</w:t>
      </w:r>
    </w:p>
    <w:p w14:paraId="0E5A1DF4" w14:textId="77777777" w:rsidR="009C0566" w:rsidRPr="00B068BF" w:rsidRDefault="009C0566" w:rsidP="009C0566">
      <w:pPr>
        <w:spacing w:after="0" w:line="240" w:lineRule="auto"/>
        <w:ind w:firstLine="360"/>
        <w:jc w:val="both"/>
        <w:rPr>
          <w:rFonts w:ascii="Times New Roman" w:hAnsi="Times New Roman" w:cs="Times New Roman"/>
          <w:sz w:val="24"/>
          <w:szCs w:val="24"/>
          <w:lang w:val="ru-RU"/>
        </w:rPr>
      </w:pPr>
      <w:r w:rsidRPr="00B068BF">
        <w:rPr>
          <w:rFonts w:ascii="Times New Roman" w:hAnsi="Times New Roman" w:cs="Times New Roman"/>
          <w:noProof/>
          <w:sz w:val="24"/>
          <w:szCs w:val="24"/>
          <w:lang w:val="ru-RU"/>
        </w:rPr>
        <w:t>В 2022 году выявлены 12 поддельных банкнот белорусских рублей образца 2009 года номиналами 10, 20, 50 и 100 рублей. Подделки номиналом 50 рублей составили 58,3%.</w:t>
      </w:r>
    </w:p>
    <w:p w14:paraId="323BBFC8" w14:textId="77777777" w:rsidR="009C0566" w:rsidRPr="00B068BF" w:rsidRDefault="009C0566" w:rsidP="009C0566">
      <w:pPr>
        <w:spacing w:after="0" w:line="240" w:lineRule="auto"/>
        <w:ind w:firstLine="27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 xml:space="preserve">С использованием полиграфических технологий изготовлены </w:t>
      </w:r>
      <w:r w:rsidRPr="00B068BF">
        <w:rPr>
          <w:rFonts w:ascii="Times New Roman" w:hAnsi="Times New Roman" w:cs="Times New Roman"/>
          <w:noProof/>
          <w:sz w:val="24"/>
          <w:szCs w:val="24"/>
          <w:lang w:val="ru-RU"/>
        </w:rPr>
        <w:t xml:space="preserve">более 90% поддельных долларов США (в основном плоская печать, а также </w:t>
      </w:r>
      <w:bookmarkStart w:id="0" w:name="_Hlk129787685"/>
      <w:r w:rsidRPr="00B068BF">
        <w:rPr>
          <w:rFonts w:ascii="Times New Roman" w:hAnsi="Times New Roman" w:cs="Times New Roman"/>
          <w:noProof/>
          <w:sz w:val="24"/>
          <w:szCs w:val="24"/>
          <w:lang w:val="ru-RU"/>
        </w:rPr>
        <w:t>глубокая печать</w:t>
      </w:r>
      <w:bookmarkEnd w:id="0"/>
      <w:r w:rsidRPr="00B068BF">
        <w:rPr>
          <w:rFonts w:ascii="Times New Roman" w:hAnsi="Times New Roman" w:cs="Times New Roman"/>
          <w:noProof/>
          <w:sz w:val="24"/>
          <w:szCs w:val="24"/>
          <w:lang w:val="ru-RU"/>
        </w:rPr>
        <w:t xml:space="preserve">), 60% поддельных евро (все плоская печать, за исключением одной банкноты, выполненной с использованием глубокой печати) и фунты стерлингов. </w:t>
      </w:r>
      <w:r w:rsidRPr="00B068BF">
        <w:rPr>
          <w:rFonts w:ascii="Times New Roman" w:hAnsi="Times New Roman" w:cs="Times New Roman"/>
          <w:sz w:val="24"/>
          <w:szCs w:val="24"/>
          <w:lang w:val="ru-RU"/>
        </w:rPr>
        <w:t xml:space="preserve">Для изготовления остальных поддельных банкнот использованы технологии репрографии – принтерные устройства (в равной степени струйная печать и электрофотография для долларов США и евро, в основном струйная печать, а также </w:t>
      </w:r>
      <w:bookmarkStart w:id="1" w:name="_Hlk129788377"/>
      <w:r w:rsidRPr="00B068BF">
        <w:rPr>
          <w:rFonts w:ascii="Times New Roman" w:hAnsi="Times New Roman" w:cs="Times New Roman"/>
          <w:sz w:val="24"/>
          <w:szCs w:val="24"/>
          <w:lang w:val="ru-RU"/>
        </w:rPr>
        <w:t xml:space="preserve">электрофотография для российских </w:t>
      </w:r>
      <w:bookmarkEnd w:id="1"/>
      <w:r w:rsidRPr="00B068BF">
        <w:rPr>
          <w:rFonts w:ascii="Times New Roman" w:hAnsi="Times New Roman" w:cs="Times New Roman"/>
          <w:sz w:val="24"/>
          <w:szCs w:val="24"/>
          <w:lang w:val="ru-RU"/>
        </w:rPr>
        <w:t>и белорусских рублей, электрофотография для злотых).</w:t>
      </w:r>
    </w:p>
    <w:p w14:paraId="39393798" w14:textId="77777777" w:rsidR="00C94689" w:rsidRPr="00B068BF" w:rsidRDefault="00C94689" w:rsidP="00B70B1E">
      <w:pPr>
        <w:spacing w:after="0" w:line="240" w:lineRule="auto"/>
        <w:jc w:val="both"/>
        <w:rPr>
          <w:rFonts w:ascii="Times New Roman" w:eastAsia="Times New Roman" w:hAnsi="Times New Roman" w:cs="Times New Roman"/>
          <w:sz w:val="24"/>
          <w:szCs w:val="24"/>
          <w:lang w:val="ru-RU" w:eastAsia="ru-RU"/>
        </w:rPr>
      </w:pPr>
    </w:p>
    <w:p w14:paraId="63169730" w14:textId="77777777" w:rsidR="006B6573" w:rsidRPr="00B068BF" w:rsidRDefault="006B6573" w:rsidP="00D6459F">
      <w:pPr>
        <w:pStyle w:val="a3"/>
        <w:numPr>
          <w:ilvl w:val="0"/>
          <w:numId w:val="5"/>
        </w:numPr>
        <w:tabs>
          <w:tab w:val="left" w:pos="851"/>
        </w:tabs>
        <w:spacing w:after="0" w:line="240" w:lineRule="auto"/>
        <w:jc w:val="both"/>
        <w:rPr>
          <w:rFonts w:ascii="Times New Roman" w:hAnsi="Times New Roman" w:cs="Times New Roman"/>
          <w:b/>
          <w:sz w:val="24"/>
          <w:szCs w:val="24"/>
          <w:lang w:val="ru-RU"/>
        </w:rPr>
      </w:pPr>
      <w:r w:rsidRPr="00B068BF">
        <w:rPr>
          <w:rFonts w:ascii="Times New Roman" w:hAnsi="Times New Roman" w:cs="Times New Roman"/>
          <w:b/>
          <w:sz w:val="24"/>
          <w:szCs w:val="24"/>
          <w:lang w:val="ru-RU"/>
        </w:rPr>
        <w:t>Национальный банк Республики Казахстан</w:t>
      </w:r>
    </w:p>
    <w:p w14:paraId="74B2E586" w14:textId="77777777" w:rsidR="00C94689" w:rsidRPr="00B068BF" w:rsidRDefault="00C94689" w:rsidP="00C94689">
      <w:pPr>
        <w:spacing w:after="0" w:line="240" w:lineRule="auto"/>
        <w:ind w:firstLine="270"/>
        <w:jc w:val="both"/>
        <w:rPr>
          <w:rFonts w:ascii="Times New Roman" w:eastAsia="Calibri" w:hAnsi="Times New Roman" w:cs="Times New Roman"/>
          <w:sz w:val="24"/>
          <w:szCs w:val="24"/>
          <w:lang w:val="ru-RU"/>
        </w:rPr>
      </w:pPr>
      <w:r w:rsidRPr="00B068BF">
        <w:rPr>
          <w:rFonts w:ascii="Times New Roman" w:eastAsia="Calibri" w:hAnsi="Times New Roman" w:cs="Times New Roman"/>
          <w:sz w:val="24"/>
          <w:szCs w:val="24"/>
          <w:lang w:val="ru-RU"/>
        </w:rPr>
        <w:t>Национальным Банком за 2022 год была проведена экспертиза 5054 сомнительных денежных знаков на сумму 18,2 млн тенге (2656 банкноты и 2393 монеты).</w:t>
      </w:r>
    </w:p>
    <w:p w14:paraId="0E1C44C3" w14:textId="70271897" w:rsidR="008E1AD2" w:rsidRDefault="008E1AD2" w:rsidP="00C94689">
      <w:pPr>
        <w:spacing w:after="0" w:line="240" w:lineRule="auto"/>
        <w:ind w:firstLine="270"/>
        <w:jc w:val="both"/>
        <w:rPr>
          <w:rFonts w:ascii="Times New Roman" w:eastAsia="Calibri" w:hAnsi="Times New Roman" w:cs="Times New Roman"/>
          <w:lang w:val="ru-RU"/>
        </w:rPr>
      </w:pPr>
    </w:p>
    <w:p w14:paraId="26E73F22" w14:textId="106DD2F2" w:rsidR="00AE2FCB" w:rsidRDefault="00AE2FCB" w:rsidP="00C94689">
      <w:pPr>
        <w:spacing w:after="0" w:line="240" w:lineRule="auto"/>
        <w:ind w:firstLine="270"/>
        <w:jc w:val="both"/>
        <w:rPr>
          <w:rFonts w:ascii="Times New Roman" w:eastAsia="Calibri" w:hAnsi="Times New Roman" w:cs="Times New Roman"/>
          <w:lang w:val="ru-RU"/>
        </w:rPr>
      </w:pPr>
    </w:p>
    <w:p w14:paraId="6D86A2B6" w14:textId="77777777" w:rsidR="008E1AD2" w:rsidRPr="00B068BF" w:rsidRDefault="008E1AD2" w:rsidP="00C94689">
      <w:pPr>
        <w:spacing w:after="0" w:line="240" w:lineRule="auto"/>
        <w:ind w:firstLine="270"/>
        <w:jc w:val="both"/>
        <w:rPr>
          <w:rFonts w:ascii="Times New Roman" w:eastAsia="Calibri" w:hAnsi="Times New Roman" w:cs="Times New Roman"/>
          <w:lang w:val="ru-RU"/>
        </w:rPr>
      </w:pPr>
    </w:p>
    <w:p w14:paraId="611D10F5" w14:textId="77777777" w:rsidR="008E1AD2" w:rsidRPr="00B068BF" w:rsidRDefault="008E1AD2" w:rsidP="00C94689">
      <w:pPr>
        <w:pStyle w:val="a3"/>
        <w:spacing w:after="0" w:line="240" w:lineRule="auto"/>
        <w:ind w:left="630"/>
        <w:jc w:val="center"/>
        <w:rPr>
          <w:rFonts w:ascii="Times New Roman" w:eastAsia="Calibri" w:hAnsi="Times New Roman" w:cs="Times New Roman"/>
          <w:b/>
          <w:sz w:val="20"/>
          <w:szCs w:val="20"/>
          <w:lang w:val="ru-RU"/>
        </w:rPr>
      </w:pPr>
    </w:p>
    <w:p w14:paraId="33207620" w14:textId="77777777" w:rsidR="00C94689" w:rsidRPr="00B068BF" w:rsidRDefault="00C94689" w:rsidP="00C94689">
      <w:pPr>
        <w:pStyle w:val="a3"/>
        <w:spacing w:after="0" w:line="240" w:lineRule="auto"/>
        <w:ind w:left="630"/>
        <w:jc w:val="center"/>
        <w:rPr>
          <w:rFonts w:ascii="Times New Roman" w:eastAsia="Calibri" w:hAnsi="Times New Roman" w:cs="Times New Roman"/>
          <w:b/>
          <w:sz w:val="24"/>
          <w:szCs w:val="24"/>
          <w:lang w:val="ru-RU"/>
        </w:rPr>
      </w:pPr>
      <w:r w:rsidRPr="00B068BF">
        <w:rPr>
          <w:rFonts w:ascii="Times New Roman" w:eastAsia="Calibri" w:hAnsi="Times New Roman" w:cs="Times New Roman"/>
          <w:b/>
          <w:sz w:val="24"/>
          <w:szCs w:val="24"/>
          <w:lang w:val="ru-RU"/>
        </w:rPr>
        <w:lastRenderedPageBreak/>
        <w:t>Экспертиза сомнительных денежных знаков за 2021-2022 годы</w:t>
      </w:r>
    </w:p>
    <w:p w14:paraId="7F606B69" w14:textId="77777777" w:rsidR="008E1AD2" w:rsidRPr="00B068BF" w:rsidRDefault="008E1AD2" w:rsidP="00C94689">
      <w:pPr>
        <w:pStyle w:val="a3"/>
        <w:spacing w:after="0" w:line="240" w:lineRule="auto"/>
        <w:ind w:left="630"/>
        <w:jc w:val="center"/>
        <w:rPr>
          <w:rFonts w:ascii="Times New Roman" w:eastAsia="Calibri" w:hAnsi="Times New Roman" w:cs="Times New Roman"/>
          <w:b/>
          <w:sz w:val="20"/>
          <w:szCs w:val="20"/>
          <w:lang w:val="ru-RU"/>
        </w:rPr>
      </w:pPr>
    </w:p>
    <w:tbl>
      <w:tblPr>
        <w:tblW w:w="9525" w:type="dxa"/>
        <w:jc w:val="center"/>
        <w:tblLayout w:type="fixed"/>
        <w:tblLook w:val="04A0" w:firstRow="1" w:lastRow="0" w:firstColumn="1" w:lastColumn="0" w:noHBand="0" w:noVBand="1"/>
      </w:tblPr>
      <w:tblGrid>
        <w:gridCol w:w="3505"/>
        <w:gridCol w:w="1440"/>
        <w:gridCol w:w="1530"/>
        <w:gridCol w:w="1440"/>
        <w:gridCol w:w="1610"/>
      </w:tblGrid>
      <w:tr w:rsidR="00C94689" w:rsidRPr="00B068BF" w14:paraId="63FCE04B" w14:textId="77777777" w:rsidTr="00014F3F">
        <w:trPr>
          <w:trHeight w:val="85"/>
          <w:jc w:val="center"/>
        </w:trPr>
        <w:tc>
          <w:tcPr>
            <w:tcW w:w="3505" w:type="dxa"/>
            <w:vMerge w:val="restart"/>
            <w:tcBorders>
              <w:top w:val="single" w:sz="4" w:space="0" w:color="auto"/>
              <w:left w:val="single" w:sz="4" w:space="0" w:color="auto"/>
              <w:bottom w:val="single" w:sz="4" w:space="0" w:color="auto"/>
              <w:right w:val="single" w:sz="4" w:space="0" w:color="auto"/>
            </w:tcBorders>
            <w:vAlign w:val="center"/>
            <w:hideMark/>
          </w:tcPr>
          <w:p w14:paraId="3105876B" w14:textId="77777777" w:rsidR="00C94689" w:rsidRPr="00B068BF" w:rsidRDefault="00C94689" w:rsidP="00955B80">
            <w:pPr>
              <w:spacing w:after="0" w:line="240" w:lineRule="auto"/>
              <w:jc w:val="center"/>
              <w:rPr>
                <w:rFonts w:ascii="Times New Roman" w:eastAsia="Calibri" w:hAnsi="Times New Roman" w:cs="Times New Roman"/>
                <w:b/>
                <w:bCs/>
                <w:sz w:val="20"/>
                <w:szCs w:val="20"/>
                <w:lang w:eastAsia="ru-RU"/>
              </w:rPr>
            </w:pPr>
            <w:r w:rsidRPr="00B068BF">
              <w:rPr>
                <w:rFonts w:ascii="Times New Roman" w:eastAsia="Calibri" w:hAnsi="Times New Roman" w:cs="Times New Roman"/>
                <w:b/>
                <w:bCs/>
                <w:sz w:val="20"/>
                <w:szCs w:val="20"/>
                <w:lang w:eastAsia="ru-RU"/>
              </w:rPr>
              <w:t>Экспертиза сомнительных денежных знаков</w:t>
            </w:r>
          </w:p>
        </w:tc>
        <w:tc>
          <w:tcPr>
            <w:tcW w:w="2970" w:type="dxa"/>
            <w:gridSpan w:val="2"/>
            <w:tcBorders>
              <w:top w:val="single" w:sz="4" w:space="0" w:color="auto"/>
              <w:left w:val="single" w:sz="4" w:space="0" w:color="auto"/>
              <w:bottom w:val="single" w:sz="4" w:space="0" w:color="auto"/>
              <w:right w:val="single" w:sz="4" w:space="0" w:color="auto"/>
            </w:tcBorders>
            <w:hideMark/>
          </w:tcPr>
          <w:p w14:paraId="3C28D97B" w14:textId="77777777" w:rsidR="00C94689" w:rsidRPr="00B068BF" w:rsidRDefault="00C94689" w:rsidP="00955B80">
            <w:pPr>
              <w:spacing w:after="0" w:line="240" w:lineRule="auto"/>
              <w:ind w:firstLine="709"/>
              <w:jc w:val="center"/>
              <w:rPr>
                <w:rFonts w:ascii="Times New Roman" w:eastAsia="Calibri" w:hAnsi="Times New Roman" w:cs="Times New Roman"/>
                <w:b/>
                <w:bCs/>
                <w:sz w:val="20"/>
                <w:szCs w:val="20"/>
                <w:lang w:eastAsia="ru-RU"/>
              </w:rPr>
            </w:pPr>
            <w:r w:rsidRPr="00B068BF">
              <w:rPr>
                <w:rFonts w:ascii="Times New Roman" w:eastAsia="Calibri" w:hAnsi="Times New Roman" w:cs="Times New Roman"/>
                <w:b/>
                <w:sz w:val="20"/>
                <w:szCs w:val="20"/>
              </w:rPr>
              <w:t>за 2021 год</w:t>
            </w:r>
          </w:p>
        </w:tc>
        <w:tc>
          <w:tcPr>
            <w:tcW w:w="3050" w:type="dxa"/>
            <w:gridSpan w:val="2"/>
            <w:tcBorders>
              <w:top w:val="single" w:sz="4" w:space="0" w:color="auto"/>
              <w:left w:val="single" w:sz="4" w:space="0" w:color="auto"/>
              <w:bottom w:val="single" w:sz="4" w:space="0" w:color="auto"/>
              <w:right w:val="single" w:sz="4" w:space="0" w:color="auto"/>
            </w:tcBorders>
            <w:hideMark/>
          </w:tcPr>
          <w:p w14:paraId="062C13B6" w14:textId="77777777" w:rsidR="00C94689" w:rsidRPr="00B068BF" w:rsidRDefault="00C94689" w:rsidP="00955B80">
            <w:pPr>
              <w:spacing w:after="0" w:line="240" w:lineRule="auto"/>
              <w:ind w:firstLine="709"/>
              <w:jc w:val="center"/>
              <w:rPr>
                <w:rFonts w:ascii="Times New Roman" w:eastAsia="Calibri" w:hAnsi="Times New Roman" w:cs="Times New Roman"/>
                <w:b/>
                <w:bCs/>
                <w:sz w:val="20"/>
                <w:szCs w:val="20"/>
                <w:lang w:eastAsia="ru-RU"/>
              </w:rPr>
            </w:pPr>
            <w:r w:rsidRPr="00B068BF">
              <w:rPr>
                <w:rFonts w:ascii="Times New Roman" w:eastAsia="Calibri" w:hAnsi="Times New Roman" w:cs="Times New Roman"/>
                <w:b/>
                <w:bCs/>
                <w:sz w:val="20"/>
                <w:szCs w:val="20"/>
                <w:lang w:eastAsia="ru-RU"/>
              </w:rPr>
              <w:t>за 2022 год</w:t>
            </w:r>
          </w:p>
        </w:tc>
      </w:tr>
      <w:tr w:rsidR="00C94689" w:rsidRPr="00B068BF" w14:paraId="155FA58E" w14:textId="77777777" w:rsidTr="00014F3F">
        <w:trPr>
          <w:trHeight w:val="85"/>
          <w:jc w:val="center"/>
        </w:trPr>
        <w:tc>
          <w:tcPr>
            <w:tcW w:w="3505" w:type="dxa"/>
            <w:vMerge/>
            <w:tcBorders>
              <w:top w:val="single" w:sz="4" w:space="0" w:color="auto"/>
              <w:left w:val="single" w:sz="4" w:space="0" w:color="auto"/>
              <w:bottom w:val="single" w:sz="4" w:space="0" w:color="auto"/>
              <w:right w:val="single" w:sz="4" w:space="0" w:color="auto"/>
            </w:tcBorders>
            <w:vAlign w:val="center"/>
            <w:hideMark/>
          </w:tcPr>
          <w:p w14:paraId="77357968" w14:textId="77777777" w:rsidR="00C94689" w:rsidRPr="00B068BF" w:rsidRDefault="00C94689" w:rsidP="00955B80">
            <w:pPr>
              <w:spacing w:after="0" w:line="240" w:lineRule="auto"/>
              <w:ind w:firstLine="709"/>
              <w:rPr>
                <w:rFonts w:ascii="Times New Roman" w:eastAsia="Calibri" w:hAnsi="Times New Roman" w:cs="Times New Roman"/>
                <w:b/>
                <w:bCs/>
                <w:sz w:val="20"/>
                <w:szCs w:val="20"/>
                <w:lang w:eastAsia="ru-RU"/>
              </w:rPr>
            </w:pPr>
          </w:p>
        </w:tc>
        <w:tc>
          <w:tcPr>
            <w:tcW w:w="1440" w:type="dxa"/>
            <w:tcBorders>
              <w:top w:val="nil"/>
              <w:left w:val="nil"/>
              <w:bottom w:val="single" w:sz="4" w:space="0" w:color="auto"/>
              <w:right w:val="single" w:sz="4" w:space="0" w:color="auto"/>
            </w:tcBorders>
            <w:noWrap/>
            <w:hideMark/>
          </w:tcPr>
          <w:p w14:paraId="597F74A7" w14:textId="77777777" w:rsidR="00C94689" w:rsidRPr="00B068BF" w:rsidRDefault="00C94689" w:rsidP="00955B80">
            <w:pPr>
              <w:spacing w:after="0" w:line="240" w:lineRule="auto"/>
              <w:jc w:val="center"/>
              <w:rPr>
                <w:rFonts w:ascii="Times New Roman" w:eastAsia="Calibri" w:hAnsi="Times New Roman" w:cs="Times New Roman"/>
                <w:b/>
                <w:bCs/>
                <w:sz w:val="20"/>
                <w:szCs w:val="20"/>
                <w:lang w:eastAsia="ru-RU"/>
              </w:rPr>
            </w:pPr>
            <w:r w:rsidRPr="00B068BF">
              <w:rPr>
                <w:rFonts w:ascii="Times New Roman" w:eastAsia="Calibri" w:hAnsi="Times New Roman" w:cs="Times New Roman"/>
                <w:b/>
                <w:sz w:val="20"/>
                <w:szCs w:val="20"/>
              </w:rPr>
              <w:t>количество, штук</w:t>
            </w:r>
          </w:p>
        </w:tc>
        <w:tc>
          <w:tcPr>
            <w:tcW w:w="1530" w:type="dxa"/>
            <w:tcBorders>
              <w:top w:val="nil"/>
              <w:left w:val="nil"/>
              <w:bottom w:val="single" w:sz="4" w:space="0" w:color="auto"/>
              <w:right w:val="single" w:sz="4" w:space="0" w:color="auto"/>
            </w:tcBorders>
            <w:hideMark/>
          </w:tcPr>
          <w:p w14:paraId="09AB1DD6" w14:textId="77777777" w:rsidR="00C94689" w:rsidRPr="00B068BF" w:rsidRDefault="00C94689" w:rsidP="00955B80">
            <w:pPr>
              <w:spacing w:after="0" w:line="240" w:lineRule="auto"/>
              <w:jc w:val="center"/>
              <w:rPr>
                <w:rFonts w:ascii="Times New Roman" w:eastAsia="Calibri" w:hAnsi="Times New Roman" w:cs="Times New Roman"/>
                <w:b/>
                <w:bCs/>
                <w:sz w:val="20"/>
                <w:szCs w:val="20"/>
                <w:lang w:eastAsia="ru-RU"/>
              </w:rPr>
            </w:pPr>
            <w:r w:rsidRPr="00B068BF">
              <w:rPr>
                <w:rFonts w:ascii="Times New Roman" w:eastAsia="Calibri" w:hAnsi="Times New Roman" w:cs="Times New Roman"/>
                <w:b/>
                <w:sz w:val="20"/>
                <w:szCs w:val="20"/>
              </w:rPr>
              <w:t>сумма, тенге</w:t>
            </w:r>
          </w:p>
        </w:tc>
        <w:tc>
          <w:tcPr>
            <w:tcW w:w="1440" w:type="dxa"/>
            <w:tcBorders>
              <w:top w:val="nil"/>
              <w:left w:val="nil"/>
              <w:bottom w:val="single" w:sz="4" w:space="0" w:color="auto"/>
              <w:right w:val="single" w:sz="4" w:space="0" w:color="auto"/>
            </w:tcBorders>
            <w:noWrap/>
            <w:vAlign w:val="center"/>
            <w:hideMark/>
          </w:tcPr>
          <w:p w14:paraId="04A45531" w14:textId="77777777" w:rsidR="00C94689" w:rsidRPr="00B068BF" w:rsidRDefault="00014F3F" w:rsidP="00014F3F">
            <w:pPr>
              <w:spacing w:after="0" w:line="240" w:lineRule="auto"/>
              <w:jc w:val="center"/>
              <w:rPr>
                <w:rFonts w:ascii="Times New Roman" w:eastAsia="Calibri" w:hAnsi="Times New Roman" w:cs="Times New Roman"/>
                <w:b/>
                <w:bCs/>
                <w:sz w:val="20"/>
                <w:szCs w:val="20"/>
                <w:lang w:eastAsia="ru-RU"/>
              </w:rPr>
            </w:pPr>
            <w:r w:rsidRPr="00B068BF">
              <w:rPr>
                <w:rFonts w:ascii="Times New Roman" w:eastAsia="Calibri" w:hAnsi="Times New Roman" w:cs="Times New Roman"/>
                <w:b/>
                <w:bCs/>
                <w:sz w:val="20"/>
                <w:szCs w:val="20"/>
                <w:lang w:val="ru-RU" w:eastAsia="ru-RU"/>
              </w:rPr>
              <w:t>к</w:t>
            </w:r>
            <w:r w:rsidR="00C94689" w:rsidRPr="00B068BF">
              <w:rPr>
                <w:rFonts w:ascii="Times New Roman" w:eastAsia="Calibri" w:hAnsi="Times New Roman" w:cs="Times New Roman"/>
                <w:b/>
                <w:bCs/>
                <w:sz w:val="20"/>
                <w:szCs w:val="20"/>
                <w:lang w:eastAsia="ru-RU"/>
              </w:rPr>
              <w:t>оличество</w:t>
            </w:r>
            <w:r w:rsidRPr="00B068BF">
              <w:rPr>
                <w:rFonts w:ascii="Times New Roman" w:eastAsia="Calibri" w:hAnsi="Times New Roman" w:cs="Times New Roman"/>
                <w:b/>
                <w:bCs/>
                <w:sz w:val="20"/>
                <w:szCs w:val="20"/>
                <w:lang w:val="ru-RU" w:eastAsia="ru-RU"/>
              </w:rPr>
              <w:t>,</w:t>
            </w:r>
            <w:r w:rsidR="00C94689" w:rsidRPr="00B068BF">
              <w:rPr>
                <w:rFonts w:ascii="Times New Roman" w:eastAsia="Calibri" w:hAnsi="Times New Roman" w:cs="Times New Roman"/>
                <w:b/>
                <w:bCs/>
                <w:sz w:val="20"/>
                <w:szCs w:val="20"/>
                <w:lang w:eastAsia="ru-RU"/>
              </w:rPr>
              <w:t xml:space="preserve"> штук</w:t>
            </w:r>
          </w:p>
        </w:tc>
        <w:tc>
          <w:tcPr>
            <w:tcW w:w="1610" w:type="dxa"/>
            <w:tcBorders>
              <w:top w:val="nil"/>
              <w:left w:val="nil"/>
              <w:bottom w:val="single" w:sz="4" w:space="0" w:color="auto"/>
              <w:right w:val="single" w:sz="4" w:space="0" w:color="auto"/>
            </w:tcBorders>
            <w:vAlign w:val="center"/>
            <w:hideMark/>
          </w:tcPr>
          <w:p w14:paraId="2F64DFFD" w14:textId="77777777" w:rsidR="00C94689" w:rsidRPr="00B068BF" w:rsidRDefault="00C94689" w:rsidP="00955B80">
            <w:pPr>
              <w:spacing w:after="0" w:line="240" w:lineRule="auto"/>
              <w:jc w:val="center"/>
              <w:rPr>
                <w:rFonts w:ascii="Times New Roman" w:eastAsia="Calibri" w:hAnsi="Times New Roman" w:cs="Times New Roman"/>
                <w:b/>
                <w:bCs/>
                <w:sz w:val="20"/>
                <w:szCs w:val="20"/>
                <w:lang w:eastAsia="ru-RU"/>
              </w:rPr>
            </w:pPr>
            <w:r w:rsidRPr="00B068BF">
              <w:rPr>
                <w:rFonts w:ascii="Times New Roman" w:eastAsia="Calibri" w:hAnsi="Times New Roman" w:cs="Times New Roman"/>
                <w:b/>
                <w:bCs/>
                <w:sz w:val="20"/>
                <w:szCs w:val="20"/>
                <w:lang w:eastAsia="ru-RU"/>
              </w:rPr>
              <w:t>сумма, тенге</w:t>
            </w:r>
          </w:p>
          <w:p w14:paraId="4BF1C6AD" w14:textId="77777777" w:rsidR="00014F3F" w:rsidRPr="00B068BF" w:rsidRDefault="00014F3F" w:rsidP="00955B80">
            <w:pPr>
              <w:spacing w:after="0" w:line="240" w:lineRule="auto"/>
              <w:jc w:val="center"/>
              <w:rPr>
                <w:rFonts w:ascii="Times New Roman" w:eastAsia="Calibri" w:hAnsi="Times New Roman" w:cs="Times New Roman"/>
                <w:b/>
                <w:bCs/>
                <w:sz w:val="20"/>
                <w:szCs w:val="20"/>
                <w:lang w:eastAsia="ru-RU"/>
              </w:rPr>
            </w:pPr>
          </w:p>
        </w:tc>
      </w:tr>
      <w:tr w:rsidR="00C94689" w:rsidRPr="00B068BF" w14:paraId="097D8689" w14:textId="77777777" w:rsidTr="00014F3F">
        <w:trPr>
          <w:trHeight w:val="85"/>
          <w:jc w:val="center"/>
        </w:trPr>
        <w:tc>
          <w:tcPr>
            <w:tcW w:w="3505" w:type="dxa"/>
            <w:tcBorders>
              <w:top w:val="nil"/>
              <w:left w:val="single" w:sz="4" w:space="0" w:color="auto"/>
              <w:bottom w:val="single" w:sz="4" w:space="0" w:color="auto"/>
              <w:right w:val="single" w:sz="4" w:space="0" w:color="auto"/>
            </w:tcBorders>
            <w:noWrap/>
            <w:vAlign w:val="center"/>
            <w:hideMark/>
          </w:tcPr>
          <w:p w14:paraId="115EEFBD" w14:textId="77777777" w:rsidR="00C94689" w:rsidRPr="00B068BF" w:rsidRDefault="00C94689" w:rsidP="00955B80">
            <w:pPr>
              <w:spacing w:after="0" w:line="240" w:lineRule="auto"/>
              <w:jc w:val="both"/>
              <w:rPr>
                <w:rFonts w:ascii="Times New Roman" w:eastAsia="Calibri" w:hAnsi="Times New Roman" w:cs="Times New Roman"/>
                <w:sz w:val="20"/>
                <w:szCs w:val="20"/>
                <w:lang w:eastAsia="ru-RU"/>
              </w:rPr>
            </w:pPr>
            <w:r w:rsidRPr="00B068BF">
              <w:rPr>
                <w:rFonts w:ascii="Times New Roman" w:eastAsia="Calibri" w:hAnsi="Times New Roman" w:cs="Times New Roman"/>
                <w:sz w:val="20"/>
                <w:szCs w:val="20"/>
                <w:lang w:eastAsia="ru-RU"/>
              </w:rPr>
              <w:t>Признаны поддельными</w:t>
            </w:r>
          </w:p>
        </w:tc>
        <w:tc>
          <w:tcPr>
            <w:tcW w:w="1440" w:type="dxa"/>
            <w:tcBorders>
              <w:top w:val="nil"/>
              <w:left w:val="nil"/>
              <w:bottom w:val="single" w:sz="4" w:space="0" w:color="auto"/>
              <w:right w:val="single" w:sz="4" w:space="0" w:color="auto"/>
            </w:tcBorders>
            <w:noWrap/>
            <w:vAlign w:val="center"/>
            <w:hideMark/>
          </w:tcPr>
          <w:p w14:paraId="021FCD27" w14:textId="77777777" w:rsidR="00C94689" w:rsidRPr="00B068BF" w:rsidRDefault="00C94689" w:rsidP="00955B80">
            <w:pPr>
              <w:spacing w:after="0" w:line="240" w:lineRule="auto"/>
              <w:jc w:val="center"/>
              <w:rPr>
                <w:rFonts w:ascii="Times New Roman" w:eastAsia="Calibri" w:hAnsi="Times New Roman" w:cs="Times New Roman"/>
                <w:sz w:val="20"/>
                <w:szCs w:val="20"/>
                <w:lang w:eastAsia="ru-RU"/>
              </w:rPr>
            </w:pPr>
            <w:r w:rsidRPr="00B068BF">
              <w:rPr>
                <w:rFonts w:ascii="Times New Roman" w:eastAsia="Calibri" w:hAnsi="Times New Roman" w:cs="Times New Roman"/>
                <w:sz w:val="20"/>
                <w:szCs w:val="20"/>
                <w:lang w:eastAsia="ru-RU"/>
              </w:rPr>
              <w:t>199</w:t>
            </w:r>
          </w:p>
        </w:tc>
        <w:tc>
          <w:tcPr>
            <w:tcW w:w="1530" w:type="dxa"/>
            <w:tcBorders>
              <w:top w:val="nil"/>
              <w:left w:val="nil"/>
              <w:bottom w:val="single" w:sz="4" w:space="0" w:color="auto"/>
              <w:right w:val="single" w:sz="4" w:space="0" w:color="auto"/>
            </w:tcBorders>
            <w:vAlign w:val="center"/>
            <w:hideMark/>
          </w:tcPr>
          <w:p w14:paraId="190DFA15" w14:textId="77777777" w:rsidR="00C94689" w:rsidRPr="00B068BF" w:rsidRDefault="00C94689" w:rsidP="00955B80">
            <w:pPr>
              <w:spacing w:after="0" w:line="240" w:lineRule="auto"/>
              <w:jc w:val="center"/>
              <w:rPr>
                <w:rFonts w:ascii="Times New Roman" w:eastAsia="Calibri" w:hAnsi="Times New Roman" w:cs="Times New Roman"/>
                <w:sz w:val="20"/>
                <w:szCs w:val="20"/>
                <w:lang w:eastAsia="ru-RU"/>
              </w:rPr>
            </w:pPr>
            <w:r w:rsidRPr="00B068BF">
              <w:rPr>
                <w:rFonts w:ascii="Times New Roman" w:eastAsia="Calibri" w:hAnsi="Times New Roman" w:cs="Times New Roman"/>
                <w:sz w:val="20"/>
                <w:szCs w:val="20"/>
                <w:lang w:eastAsia="ru-RU"/>
              </w:rPr>
              <w:t>729 300</w:t>
            </w:r>
          </w:p>
        </w:tc>
        <w:tc>
          <w:tcPr>
            <w:tcW w:w="1440" w:type="dxa"/>
            <w:tcBorders>
              <w:top w:val="nil"/>
              <w:left w:val="nil"/>
              <w:bottom w:val="single" w:sz="4" w:space="0" w:color="auto"/>
              <w:right w:val="single" w:sz="4" w:space="0" w:color="auto"/>
            </w:tcBorders>
            <w:noWrap/>
            <w:vAlign w:val="center"/>
            <w:hideMark/>
          </w:tcPr>
          <w:p w14:paraId="483FB1DA" w14:textId="77777777" w:rsidR="00C94689" w:rsidRPr="00B068BF" w:rsidRDefault="00C94689" w:rsidP="00955B80">
            <w:pPr>
              <w:spacing w:after="0" w:line="240" w:lineRule="auto"/>
              <w:jc w:val="center"/>
              <w:rPr>
                <w:rFonts w:ascii="Times New Roman" w:eastAsia="Calibri" w:hAnsi="Times New Roman" w:cs="Times New Roman"/>
                <w:sz w:val="20"/>
                <w:szCs w:val="20"/>
                <w:lang w:eastAsia="ru-RU"/>
              </w:rPr>
            </w:pPr>
            <w:r w:rsidRPr="00B068BF">
              <w:rPr>
                <w:rFonts w:ascii="Times New Roman" w:eastAsia="Calibri" w:hAnsi="Times New Roman" w:cs="Times New Roman"/>
                <w:sz w:val="20"/>
                <w:szCs w:val="20"/>
                <w:lang w:eastAsia="ru-RU"/>
              </w:rPr>
              <w:t>86</w:t>
            </w:r>
          </w:p>
        </w:tc>
        <w:tc>
          <w:tcPr>
            <w:tcW w:w="1610" w:type="dxa"/>
            <w:tcBorders>
              <w:top w:val="nil"/>
              <w:left w:val="nil"/>
              <w:bottom w:val="single" w:sz="4" w:space="0" w:color="auto"/>
              <w:right w:val="single" w:sz="4" w:space="0" w:color="auto"/>
            </w:tcBorders>
            <w:vAlign w:val="center"/>
            <w:hideMark/>
          </w:tcPr>
          <w:p w14:paraId="4E96C7D8" w14:textId="77777777" w:rsidR="00C94689" w:rsidRPr="00B068BF" w:rsidRDefault="00C94689" w:rsidP="00955B80">
            <w:pPr>
              <w:spacing w:after="0" w:line="240" w:lineRule="auto"/>
              <w:jc w:val="center"/>
              <w:rPr>
                <w:rFonts w:ascii="Times New Roman" w:eastAsia="Calibri" w:hAnsi="Times New Roman" w:cs="Times New Roman"/>
                <w:sz w:val="20"/>
                <w:szCs w:val="20"/>
                <w:lang w:eastAsia="ru-RU"/>
              </w:rPr>
            </w:pPr>
            <w:r w:rsidRPr="00B068BF">
              <w:rPr>
                <w:rFonts w:ascii="Times New Roman" w:eastAsia="Calibri" w:hAnsi="Times New Roman" w:cs="Times New Roman"/>
                <w:sz w:val="20"/>
                <w:szCs w:val="20"/>
                <w:lang w:eastAsia="ru-RU"/>
              </w:rPr>
              <w:t>333 250</w:t>
            </w:r>
          </w:p>
        </w:tc>
      </w:tr>
      <w:tr w:rsidR="00C94689" w:rsidRPr="00B068BF" w14:paraId="5A92BBA4" w14:textId="77777777" w:rsidTr="00014F3F">
        <w:trPr>
          <w:trHeight w:val="85"/>
          <w:jc w:val="center"/>
        </w:trPr>
        <w:tc>
          <w:tcPr>
            <w:tcW w:w="3505" w:type="dxa"/>
            <w:tcBorders>
              <w:top w:val="nil"/>
              <w:left w:val="single" w:sz="4" w:space="0" w:color="auto"/>
              <w:bottom w:val="single" w:sz="4" w:space="0" w:color="auto"/>
              <w:right w:val="single" w:sz="4" w:space="0" w:color="auto"/>
            </w:tcBorders>
            <w:noWrap/>
            <w:vAlign w:val="center"/>
            <w:hideMark/>
          </w:tcPr>
          <w:p w14:paraId="2F9ED9D0" w14:textId="77777777" w:rsidR="00C94689" w:rsidRPr="00B068BF" w:rsidRDefault="00C94689" w:rsidP="00955B80">
            <w:pPr>
              <w:spacing w:after="0" w:line="240" w:lineRule="auto"/>
              <w:jc w:val="both"/>
              <w:rPr>
                <w:rFonts w:ascii="Times New Roman" w:eastAsia="Calibri" w:hAnsi="Times New Roman" w:cs="Times New Roman"/>
                <w:sz w:val="20"/>
                <w:szCs w:val="20"/>
                <w:lang w:eastAsia="ru-RU"/>
              </w:rPr>
            </w:pPr>
            <w:r w:rsidRPr="00B068BF">
              <w:rPr>
                <w:rFonts w:ascii="Times New Roman" w:eastAsia="Calibri" w:hAnsi="Times New Roman" w:cs="Times New Roman"/>
                <w:sz w:val="20"/>
                <w:szCs w:val="20"/>
                <w:lang w:eastAsia="ru-RU"/>
              </w:rPr>
              <w:t>Признаны неплатежными</w:t>
            </w:r>
          </w:p>
        </w:tc>
        <w:tc>
          <w:tcPr>
            <w:tcW w:w="1440" w:type="dxa"/>
            <w:tcBorders>
              <w:top w:val="nil"/>
              <w:left w:val="nil"/>
              <w:bottom w:val="single" w:sz="4" w:space="0" w:color="auto"/>
              <w:right w:val="single" w:sz="4" w:space="0" w:color="auto"/>
            </w:tcBorders>
            <w:noWrap/>
            <w:vAlign w:val="center"/>
            <w:hideMark/>
          </w:tcPr>
          <w:p w14:paraId="7C16C232" w14:textId="77777777" w:rsidR="00C94689" w:rsidRPr="00B068BF" w:rsidRDefault="00C94689" w:rsidP="00955B80">
            <w:pPr>
              <w:spacing w:after="0" w:line="240" w:lineRule="auto"/>
              <w:jc w:val="center"/>
              <w:rPr>
                <w:rFonts w:ascii="Times New Roman" w:eastAsia="Calibri" w:hAnsi="Times New Roman" w:cs="Times New Roman"/>
                <w:sz w:val="20"/>
                <w:szCs w:val="20"/>
                <w:lang w:eastAsia="ru-RU"/>
              </w:rPr>
            </w:pPr>
            <w:r w:rsidRPr="00B068BF">
              <w:rPr>
                <w:rFonts w:ascii="Times New Roman" w:eastAsia="Calibri" w:hAnsi="Times New Roman" w:cs="Times New Roman"/>
                <w:sz w:val="20"/>
                <w:szCs w:val="20"/>
                <w:lang w:eastAsia="ru-RU"/>
              </w:rPr>
              <w:t>472</w:t>
            </w:r>
          </w:p>
        </w:tc>
        <w:tc>
          <w:tcPr>
            <w:tcW w:w="1530" w:type="dxa"/>
            <w:tcBorders>
              <w:top w:val="nil"/>
              <w:left w:val="nil"/>
              <w:bottom w:val="single" w:sz="4" w:space="0" w:color="auto"/>
              <w:right w:val="single" w:sz="4" w:space="0" w:color="auto"/>
            </w:tcBorders>
            <w:vAlign w:val="center"/>
            <w:hideMark/>
          </w:tcPr>
          <w:p w14:paraId="1024FCDE" w14:textId="77777777" w:rsidR="00C94689" w:rsidRPr="00B068BF" w:rsidRDefault="00C94689" w:rsidP="00955B80">
            <w:pPr>
              <w:spacing w:after="0" w:line="240" w:lineRule="auto"/>
              <w:jc w:val="center"/>
              <w:rPr>
                <w:rFonts w:ascii="Times New Roman" w:eastAsia="Calibri" w:hAnsi="Times New Roman" w:cs="Times New Roman"/>
                <w:sz w:val="20"/>
                <w:szCs w:val="20"/>
                <w:lang w:eastAsia="ru-RU"/>
              </w:rPr>
            </w:pPr>
            <w:r w:rsidRPr="00B068BF">
              <w:rPr>
                <w:rFonts w:ascii="Times New Roman" w:eastAsia="Calibri" w:hAnsi="Times New Roman" w:cs="Times New Roman"/>
                <w:sz w:val="20"/>
                <w:szCs w:val="20"/>
                <w:lang w:eastAsia="ru-RU"/>
              </w:rPr>
              <w:t>1 419 600</w:t>
            </w:r>
          </w:p>
        </w:tc>
        <w:tc>
          <w:tcPr>
            <w:tcW w:w="1440" w:type="dxa"/>
            <w:tcBorders>
              <w:top w:val="nil"/>
              <w:left w:val="nil"/>
              <w:bottom w:val="single" w:sz="4" w:space="0" w:color="auto"/>
              <w:right w:val="single" w:sz="4" w:space="0" w:color="auto"/>
            </w:tcBorders>
            <w:noWrap/>
            <w:vAlign w:val="center"/>
            <w:hideMark/>
          </w:tcPr>
          <w:p w14:paraId="76057822" w14:textId="77777777" w:rsidR="00C94689" w:rsidRPr="00B068BF" w:rsidRDefault="00C94689" w:rsidP="00955B80">
            <w:pPr>
              <w:spacing w:after="0" w:line="240" w:lineRule="auto"/>
              <w:jc w:val="center"/>
              <w:rPr>
                <w:rFonts w:ascii="Times New Roman" w:eastAsia="Calibri" w:hAnsi="Times New Roman" w:cs="Times New Roman"/>
                <w:sz w:val="20"/>
                <w:szCs w:val="20"/>
                <w:lang w:eastAsia="ru-RU"/>
              </w:rPr>
            </w:pPr>
            <w:r w:rsidRPr="00B068BF">
              <w:rPr>
                <w:rFonts w:ascii="Times New Roman" w:eastAsia="Calibri" w:hAnsi="Times New Roman" w:cs="Times New Roman"/>
                <w:sz w:val="20"/>
                <w:szCs w:val="20"/>
                <w:lang w:eastAsia="ru-RU"/>
              </w:rPr>
              <w:t>603</w:t>
            </w:r>
          </w:p>
        </w:tc>
        <w:tc>
          <w:tcPr>
            <w:tcW w:w="1610" w:type="dxa"/>
            <w:tcBorders>
              <w:top w:val="nil"/>
              <w:left w:val="nil"/>
              <w:bottom w:val="single" w:sz="4" w:space="0" w:color="auto"/>
              <w:right w:val="single" w:sz="4" w:space="0" w:color="auto"/>
            </w:tcBorders>
            <w:vAlign w:val="center"/>
            <w:hideMark/>
          </w:tcPr>
          <w:p w14:paraId="4ADEA5FD" w14:textId="77777777" w:rsidR="00C94689" w:rsidRPr="00B068BF" w:rsidRDefault="00C94689" w:rsidP="00955B80">
            <w:pPr>
              <w:spacing w:after="0" w:line="240" w:lineRule="auto"/>
              <w:jc w:val="center"/>
              <w:rPr>
                <w:rFonts w:ascii="Times New Roman" w:eastAsia="Calibri" w:hAnsi="Times New Roman" w:cs="Times New Roman"/>
                <w:sz w:val="20"/>
                <w:szCs w:val="20"/>
                <w:lang w:eastAsia="ru-RU"/>
              </w:rPr>
            </w:pPr>
            <w:r w:rsidRPr="00B068BF">
              <w:rPr>
                <w:rFonts w:ascii="Times New Roman" w:eastAsia="Calibri" w:hAnsi="Times New Roman" w:cs="Times New Roman"/>
                <w:sz w:val="20"/>
                <w:szCs w:val="20"/>
                <w:lang w:eastAsia="ru-RU"/>
              </w:rPr>
              <w:t>3 805 800</w:t>
            </w:r>
          </w:p>
        </w:tc>
      </w:tr>
      <w:tr w:rsidR="00C94689" w:rsidRPr="00B068BF" w14:paraId="5A37BD5B" w14:textId="77777777" w:rsidTr="00014F3F">
        <w:trPr>
          <w:trHeight w:val="56"/>
          <w:jc w:val="center"/>
        </w:trPr>
        <w:tc>
          <w:tcPr>
            <w:tcW w:w="3505" w:type="dxa"/>
            <w:tcBorders>
              <w:top w:val="nil"/>
              <w:left w:val="single" w:sz="4" w:space="0" w:color="auto"/>
              <w:bottom w:val="single" w:sz="4" w:space="0" w:color="auto"/>
              <w:right w:val="single" w:sz="4" w:space="0" w:color="auto"/>
            </w:tcBorders>
            <w:noWrap/>
            <w:vAlign w:val="center"/>
            <w:hideMark/>
          </w:tcPr>
          <w:p w14:paraId="4A356F86" w14:textId="77777777" w:rsidR="00C94689" w:rsidRPr="00B068BF" w:rsidRDefault="00C94689" w:rsidP="00014F3F">
            <w:pPr>
              <w:spacing w:after="0" w:line="240" w:lineRule="auto"/>
              <w:rPr>
                <w:rFonts w:ascii="Times New Roman" w:eastAsia="Calibri" w:hAnsi="Times New Roman" w:cs="Times New Roman"/>
                <w:sz w:val="20"/>
                <w:szCs w:val="20"/>
                <w:lang w:eastAsia="ru-RU"/>
              </w:rPr>
            </w:pPr>
            <w:r w:rsidRPr="00B068BF">
              <w:rPr>
                <w:rFonts w:ascii="Times New Roman" w:eastAsia="Calibri" w:hAnsi="Times New Roman" w:cs="Times New Roman"/>
                <w:sz w:val="20"/>
                <w:szCs w:val="20"/>
                <w:lang w:eastAsia="ru-RU"/>
              </w:rPr>
              <w:t>Признаны имеющими заводской брак</w:t>
            </w:r>
          </w:p>
        </w:tc>
        <w:tc>
          <w:tcPr>
            <w:tcW w:w="1440" w:type="dxa"/>
            <w:tcBorders>
              <w:top w:val="nil"/>
              <w:left w:val="nil"/>
              <w:bottom w:val="single" w:sz="4" w:space="0" w:color="auto"/>
              <w:right w:val="single" w:sz="4" w:space="0" w:color="auto"/>
            </w:tcBorders>
            <w:noWrap/>
            <w:vAlign w:val="center"/>
            <w:hideMark/>
          </w:tcPr>
          <w:p w14:paraId="7F044590" w14:textId="77777777" w:rsidR="00C94689" w:rsidRPr="00B068BF" w:rsidRDefault="00C94689" w:rsidP="00955B80">
            <w:pPr>
              <w:spacing w:after="0" w:line="240" w:lineRule="auto"/>
              <w:jc w:val="center"/>
              <w:rPr>
                <w:rFonts w:ascii="Times New Roman" w:eastAsia="Calibri" w:hAnsi="Times New Roman" w:cs="Times New Roman"/>
                <w:sz w:val="20"/>
                <w:szCs w:val="20"/>
                <w:lang w:eastAsia="ru-RU"/>
              </w:rPr>
            </w:pPr>
            <w:r w:rsidRPr="00B068BF">
              <w:rPr>
                <w:rFonts w:ascii="Times New Roman" w:eastAsia="Calibri" w:hAnsi="Times New Roman" w:cs="Times New Roman"/>
                <w:sz w:val="20"/>
                <w:szCs w:val="20"/>
                <w:lang w:eastAsia="ru-RU"/>
              </w:rPr>
              <w:t>5</w:t>
            </w:r>
          </w:p>
        </w:tc>
        <w:tc>
          <w:tcPr>
            <w:tcW w:w="1530" w:type="dxa"/>
            <w:tcBorders>
              <w:top w:val="nil"/>
              <w:left w:val="nil"/>
              <w:bottom w:val="single" w:sz="4" w:space="0" w:color="auto"/>
              <w:right w:val="single" w:sz="4" w:space="0" w:color="auto"/>
            </w:tcBorders>
            <w:vAlign w:val="center"/>
            <w:hideMark/>
          </w:tcPr>
          <w:p w14:paraId="61ED9601" w14:textId="77777777" w:rsidR="00C94689" w:rsidRPr="00B068BF" w:rsidRDefault="00C94689" w:rsidP="00955B80">
            <w:pPr>
              <w:spacing w:after="0" w:line="240" w:lineRule="auto"/>
              <w:jc w:val="center"/>
              <w:rPr>
                <w:rFonts w:ascii="Times New Roman" w:eastAsia="Calibri" w:hAnsi="Times New Roman" w:cs="Times New Roman"/>
                <w:sz w:val="20"/>
                <w:szCs w:val="20"/>
                <w:lang w:eastAsia="ru-RU"/>
              </w:rPr>
            </w:pPr>
            <w:r w:rsidRPr="00B068BF">
              <w:rPr>
                <w:rFonts w:ascii="Times New Roman" w:eastAsia="Calibri" w:hAnsi="Times New Roman" w:cs="Times New Roman"/>
                <w:sz w:val="20"/>
                <w:szCs w:val="20"/>
                <w:lang w:eastAsia="ru-RU"/>
              </w:rPr>
              <w:t>6 000</w:t>
            </w:r>
          </w:p>
        </w:tc>
        <w:tc>
          <w:tcPr>
            <w:tcW w:w="1440" w:type="dxa"/>
            <w:tcBorders>
              <w:top w:val="nil"/>
              <w:left w:val="nil"/>
              <w:bottom w:val="single" w:sz="4" w:space="0" w:color="auto"/>
              <w:right w:val="single" w:sz="4" w:space="0" w:color="auto"/>
            </w:tcBorders>
            <w:noWrap/>
            <w:vAlign w:val="center"/>
            <w:hideMark/>
          </w:tcPr>
          <w:p w14:paraId="72A08565" w14:textId="77777777" w:rsidR="00C94689" w:rsidRPr="00B068BF" w:rsidRDefault="00C94689" w:rsidP="00955B80">
            <w:pPr>
              <w:spacing w:after="0" w:line="240" w:lineRule="auto"/>
              <w:jc w:val="center"/>
              <w:rPr>
                <w:rFonts w:ascii="Times New Roman" w:eastAsia="Calibri" w:hAnsi="Times New Roman" w:cs="Times New Roman"/>
                <w:sz w:val="20"/>
                <w:szCs w:val="20"/>
                <w:lang w:eastAsia="ru-RU"/>
              </w:rPr>
            </w:pPr>
            <w:r w:rsidRPr="00B068BF">
              <w:rPr>
                <w:rFonts w:ascii="Times New Roman" w:eastAsia="Calibri" w:hAnsi="Times New Roman" w:cs="Times New Roman"/>
                <w:sz w:val="20"/>
                <w:szCs w:val="20"/>
                <w:lang w:eastAsia="ru-RU"/>
              </w:rPr>
              <w:t>5</w:t>
            </w:r>
          </w:p>
        </w:tc>
        <w:tc>
          <w:tcPr>
            <w:tcW w:w="1610" w:type="dxa"/>
            <w:tcBorders>
              <w:top w:val="nil"/>
              <w:left w:val="nil"/>
              <w:bottom w:val="single" w:sz="4" w:space="0" w:color="auto"/>
              <w:right w:val="single" w:sz="4" w:space="0" w:color="auto"/>
            </w:tcBorders>
            <w:vAlign w:val="center"/>
            <w:hideMark/>
          </w:tcPr>
          <w:p w14:paraId="132A5626" w14:textId="77777777" w:rsidR="00C94689" w:rsidRPr="00B068BF" w:rsidRDefault="00C94689" w:rsidP="00955B80">
            <w:pPr>
              <w:spacing w:after="0" w:line="240" w:lineRule="auto"/>
              <w:jc w:val="center"/>
              <w:rPr>
                <w:rFonts w:ascii="Times New Roman" w:eastAsia="Calibri" w:hAnsi="Times New Roman" w:cs="Times New Roman"/>
                <w:sz w:val="20"/>
                <w:szCs w:val="20"/>
                <w:lang w:eastAsia="ru-RU"/>
              </w:rPr>
            </w:pPr>
            <w:r w:rsidRPr="00B068BF">
              <w:rPr>
                <w:rFonts w:ascii="Times New Roman" w:eastAsia="Calibri" w:hAnsi="Times New Roman" w:cs="Times New Roman"/>
                <w:sz w:val="20"/>
                <w:szCs w:val="20"/>
                <w:lang w:eastAsia="ru-RU"/>
              </w:rPr>
              <w:t>41 100</w:t>
            </w:r>
          </w:p>
        </w:tc>
      </w:tr>
      <w:tr w:rsidR="00C94689" w:rsidRPr="00B068BF" w14:paraId="3489BB91" w14:textId="77777777" w:rsidTr="00014F3F">
        <w:trPr>
          <w:trHeight w:val="77"/>
          <w:jc w:val="center"/>
        </w:trPr>
        <w:tc>
          <w:tcPr>
            <w:tcW w:w="3505" w:type="dxa"/>
            <w:tcBorders>
              <w:top w:val="nil"/>
              <w:left w:val="single" w:sz="4" w:space="0" w:color="auto"/>
              <w:bottom w:val="single" w:sz="4" w:space="0" w:color="auto"/>
              <w:right w:val="single" w:sz="4" w:space="0" w:color="auto"/>
            </w:tcBorders>
            <w:noWrap/>
            <w:vAlign w:val="center"/>
            <w:hideMark/>
          </w:tcPr>
          <w:p w14:paraId="276825D3" w14:textId="77777777" w:rsidR="00C94689" w:rsidRPr="00B068BF" w:rsidRDefault="00C94689" w:rsidP="00014F3F">
            <w:pPr>
              <w:spacing w:after="0" w:line="240" w:lineRule="auto"/>
              <w:rPr>
                <w:rFonts w:ascii="Times New Roman" w:eastAsia="Calibri" w:hAnsi="Times New Roman" w:cs="Times New Roman"/>
                <w:sz w:val="20"/>
                <w:szCs w:val="20"/>
                <w:lang w:val="ru-RU" w:eastAsia="ru-RU"/>
              </w:rPr>
            </w:pPr>
            <w:r w:rsidRPr="00B068BF">
              <w:rPr>
                <w:rFonts w:ascii="Times New Roman" w:eastAsia="Calibri" w:hAnsi="Times New Roman" w:cs="Times New Roman"/>
                <w:sz w:val="20"/>
                <w:szCs w:val="20"/>
                <w:lang w:val="ru-RU" w:eastAsia="ru-RU"/>
              </w:rPr>
              <w:t>Признаны платежными и подлежащими обмену</w:t>
            </w:r>
          </w:p>
        </w:tc>
        <w:tc>
          <w:tcPr>
            <w:tcW w:w="1440" w:type="dxa"/>
            <w:tcBorders>
              <w:top w:val="nil"/>
              <w:left w:val="nil"/>
              <w:bottom w:val="single" w:sz="4" w:space="0" w:color="auto"/>
              <w:right w:val="single" w:sz="4" w:space="0" w:color="auto"/>
            </w:tcBorders>
            <w:noWrap/>
            <w:vAlign w:val="center"/>
            <w:hideMark/>
          </w:tcPr>
          <w:p w14:paraId="617FDA5B" w14:textId="77777777" w:rsidR="00C94689" w:rsidRPr="00B068BF" w:rsidRDefault="00C94689" w:rsidP="00955B80">
            <w:pPr>
              <w:spacing w:after="0" w:line="240" w:lineRule="auto"/>
              <w:jc w:val="center"/>
              <w:rPr>
                <w:rFonts w:ascii="Times New Roman" w:eastAsia="Calibri" w:hAnsi="Times New Roman" w:cs="Times New Roman"/>
                <w:sz w:val="20"/>
                <w:szCs w:val="20"/>
                <w:lang w:eastAsia="ru-RU"/>
              </w:rPr>
            </w:pPr>
            <w:r w:rsidRPr="00B068BF">
              <w:rPr>
                <w:rFonts w:ascii="Times New Roman" w:eastAsia="Calibri" w:hAnsi="Times New Roman" w:cs="Times New Roman"/>
                <w:sz w:val="20"/>
                <w:szCs w:val="20"/>
                <w:lang w:eastAsia="ru-RU"/>
              </w:rPr>
              <w:t>2 717</w:t>
            </w:r>
          </w:p>
        </w:tc>
        <w:tc>
          <w:tcPr>
            <w:tcW w:w="1530" w:type="dxa"/>
            <w:tcBorders>
              <w:top w:val="nil"/>
              <w:left w:val="nil"/>
              <w:bottom w:val="single" w:sz="4" w:space="0" w:color="auto"/>
              <w:right w:val="single" w:sz="4" w:space="0" w:color="auto"/>
            </w:tcBorders>
            <w:vAlign w:val="center"/>
            <w:hideMark/>
          </w:tcPr>
          <w:p w14:paraId="00E8B293" w14:textId="77777777" w:rsidR="00C94689" w:rsidRPr="00B068BF" w:rsidRDefault="00C94689" w:rsidP="00955B80">
            <w:pPr>
              <w:spacing w:after="0" w:line="240" w:lineRule="auto"/>
              <w:jc w:val="center"/>
              <w:rPr>
                <w:rFonts w:ascii="Times New Roman" w:eastAsia="Calibri" w:hAnsi="Times New Roman" w:cs="Times New Roman"/>
                <w:sz w:val="20"/>
                <w:szCs w:val="20"/>
                <w:lang w:eastAsia="ru-RU"/>
              </w:rPr>
            </w:pPr>
            <w:r w:rsidRPr="00B068BF">
              <w:rPr>
                <w:rFonts w:ascii="Times New Roman" w:eastAsia="Calibri" w:hAnsi="Times New Roman" w:cs="Times New Roman"/>
                <w:sz w:val="20"/>
                <w:szCs w:val="20"/>
                <w:lang w:eastAsia="ru-RU"/>
              </w:rPr>
              <w:t>8 922 200</w:t>
            </w:r>
          </w:p>
        </w:tc>
        <w:tc>
          <w:tcPr>
            <w:tcW w:w="1440" w:type="dxa"/>
            <w:tcBorders>
              <w:top w:val="nil"/>
              <w:left w:val="nil"/>
              <w:bottom w:val="single" w:sz="4" w:space="0" w:color="auto"/>
              <w:right w:val="single" w:sz="4" w:space="0" w:color="auto"/>
            </w:tcBorders>
            <w:noWrap/>
            <w:vAlign w:val="center"/>
            <w:hideMark/>
          </w:tcPr>
          <w:p w14:paraId="7A1758E3" w14:textId="77777777" w:rsidR="00C94689" w:rsidRPr="00B068BF" w:rsidRDefault="00C94689" w:rsidP="00955B80">
            <w:pPr>
              <w:spacing w:after="0" w:line="240" w:lineRule="auto"/>
              <w:jc w:val="center"/>
              <w:rPr>
                <w:rFonts w:ascii="Times New Roman" w:eastAsia="Calibri" w:hAnsi="Times New Roman" w:cs="Times New Roman"/>
                <w:sz w:val="20"/>
                <w:szCs w:val="20"/>
                <w:lang w:eastAsia="ru-RU"/>
              </w:rPr>
            </w:pPr>
            <w:r w:rsidRPr="00B068BF">
              <w:rPr>
                <w:rFonts w:ascii="Times New Roman" w:eastAsia="Calibri" w:hAnsi="Times New Roman" w:cs="Times New Roman"/>
                <w:sz w:val="20"/>
                <w:szCs w:val="20"/>
                <w:lang w:eastAsia="ru-RU"/>
              </w:rPr>
              <w:t>4 360</w:t>
            </w:r>
          </w:p>
        </w:tc>
        <w:tc>
          <w:tcPr>
            <w:tcW w:w="1610" w:type="dxa"/>
            <w:tcBorders>
              <w:top w:val="nil"/>
              <w:left w:val="nil"/>
              <w:bottom w:val="single" w:sz="4" w:space="0" w:color="auto"/>
              <w:right w:val="single" w:sz="4" w:space="0" w:color="auto"/>
            </w:tcBorders>
            <w:vAlign w:val="center"/>
            <w:hideMark/>
          </w:tcPr>
          <w:p w14:paraId="6CB9F21A" w14:textId="77777777" w:rsidR="00C94689" w:rsidRPr="00B068BF" w:rsidRDefault="00C94689" w:rsidP="00955B80">
            <w:pPr>
              <w:spacing w:after="0" w:line="240" w:lineRule="auto"/>
              <w:jc w:val="center"/>
              <w:rPr>
                <w:rFonts w:ascii="Times New Roman" w:eastAsia="Calibri" w:hAnsi="Times New Roman" w:cs="Times New Roman"/>
                <w:sz w:val="20"/>
                <w:szCs w:val="20"/>
                <w:lang w:eastAsia="ru-RU"/>
              </w:rPr>
            </w:pPr>
            <w:r w:rsidRPr="00B068BF">
              <w:rPr>
                <w:rFonts w:ascii="Times New Roman" w:eastAsia="Calibri" w:hAnsi="Times New Roman" w:cs="Times New Roman"/>
                <w:sz w:val="20"/>
                <w:szCs w:val="20"/>
                <w:lang w:eastAsia="ru-RU"/>
              </w:rPr>
              <w:t>14 009 699</w:t>
            </w:r>
          </w:p>
        </w:tc>
      </w:tr>
      <w:tr w:rsidR="00C94689" w:rsidRPr="00B068BF" w14:paraId="5DEA48F8" w14:textId="77777777" w:rsidTr="00014F3F">
        <w:trPr>
          <w:trHeight w:val="77"/>
          <w:jc w:val="center"/>
        </w:trPr>
        <w:tc>
          <w:tcPr>
            <w:tcW w:w="3505" w:type="dxa"/>
            <w:tcBorders>
              <w:top w:val="nil"/>
              <w:left w:val="single" w:sz="4" w:space="0" w:color="auto"/>
              <w:bottom w:val="single" w:sz="4" w:space="0" w:color="auto"/>
              <w:right w:val="single" w:sz="4" w:space="0" w:color="auto"/>
            </w:tcBorders>
            <w:noWrap/>
            <w:vAlign w:val="center"/>
            <w:hideMark/>
          </w:tcPr>
          <w:p w14:paraId="22ED87B6" w14:textId="77777777" w:rsidR="00C94689" w:rsidRPr="00B068BF" w:rsidRDefault="00C94689" w:rsidP="00955B80">
            <w:pPr>
              <w:spacing w:after="0" w:line="240" w:lineRule="auto"/>
              <w:jc w:val="both"/>
              <w:rPr>
                <w:rFonts w:ascii="Times New Roman" w:eastAsia="Calibri" w:hAnsi="Times New Roman" w:cs="Times New Roman"/>
                <w:sz w:val="20"/>
                <w:szCs w:val="20"/>
                <w:lang w:eastAsia="ru-RU"/>
              </w:rPr>
            </w:pPr>
            <w:r w:rsidRPr="00B068BF">
              <w:rPr>
                <w:rFonts w:ascii="Times New Roman" w:eastAsia="Calibri" w:hAnsi="Times New Roman" w:cs="Times New Roman"/>
                <w:sz w:val="20"/>
                <w:szCs w:val="20"/>
                <w:lang w:eastAsia="ru-RU"/>
              </w:rPr>
              <w:t>Всего</w:t>
            </w:r>
          </w:p>
        </w:tc>
        <w:tc>
          <w:tcPr>
            <w:tcW w:w="1440" w:type="dxa"/>
            <w:tcBorders>
              <w:top w:val="nil"/>
              <w:left w:val="nil"/>
              <w:bottom w:val="single" w:sz="4" w:space="0" w:color="auto"/>
              <w:right w:val="single" w:sz="4" w:space="0" w:color="auto"/>
            </w:tcBorders>
            <w:noWrap/>
            <w:vAlign w:val="bottom"/>
            <w:hideMark/>
          </w:tcPr>
          <w:p w14:paraId="0D7C2963" w14:textId="77777777" w:rsidR="00C94689" w:rsidRPr="00B068BF" w:rsidRDefault="00C94689" w:rsidP="00955B80">
            <w:pPr>
              <w:spacing w:after="0" w:line="240" w:lineRule="auto"/>
              <w:jc w:val="center"/>
              <w:rPr>
                <w:rFonts w:ascii="Times New Roman" w:eastAsia="Calibri" w:hAnsi="Times New Roman" w:cs="Times New Roman"/>
                <w:sz w:val="20"/>
                <w:szCs w:val="20"/>
                <w:lang w:eastAsia="ru-RU"/>
              </w:rPr>
            </w:pPr>
            <w:r w:rsidRPr="00B068BF">
              <w:rPr>
                <w:rFonts w:ascii="Times New Roman" w:eastAsia="Calibri" w:hAnsi="Times New Roman" w:cs="Times New Roman"/>
                <w:sz w:val="20"/>
                <w:szCs w:val="20"/>
                <w:lang w:eastAsia="ru-RU"/>
              </w:rPr>
              <w:t>3 393</w:t>
            </w:r>
          </w:p>
        </w:tc>
        <w:tc>
          <w:tcPr>
            <w:tcW w:w="1530" w:type="dxa"/>
            <w:tcBorders>
              <w:top w:val="nil"/>
              <w:left w:val="nil"/>
              <w:bottom w:val="single" w:sz="4" w:space="0" w:color="auto"/>
              <w:right w:val="single" w:sz="4" w:space="0" w:color="auto"/>
            </w:tcBorders>
            <w:vAlign w:val="bottom"/>
            <w:hideMark/>
          </w:tcPr>
          <w:p w14:paraId="6F4C6D64" w14:textId="77777777" w:rsidR="00C94689" w:rsidRPr="00B068BF" w:rsidRDefault="00C94689" w:rsidP="00955B80">
            <w:pPr>
              <w:spacing w:after="0" w:line="240" w:lineRule="auto"/>
              <w:jc w:val="center"/>
              <w:rPr>
                <w:rFonts w:ascii="Times New Roman" w:eastAsia="Calibri" w:hAnsi="Times New Roman" w:cs="Times New Roman"/>
                <w:sz w:val="20"/>
                <w:szCs w:val="20"/>
                <w:lang w:eastAsia="ru-RU"/>
              </w:rPr>
            </w:pPr>
            <w:r w:rsidRPr="00B068BF">
              <w:rPr>
                <w:rFonts w:ascii="Times New Roman" w:eastAsia="Calibri" w:hAnsi="Times New Roman" w:cs="Times New Roman"/>
                <w:sz w:val="20"/>
                <w:szCs w:val="20"/>
                <w:lang w:eastAsia="ru-RU"/>
              </w:rPr>
              <w:t>11 077 100</w:t>
            </w:r>
          </w:p>
        </w:tc>
        <w:tc>
          <w:tcPr>
            <w:tcW w:w="1440" w:type="dxa"/>
            <w:tcBorders>
              <w:top w:val="nil"/>
              <w:left w:val="nil"/>
              <w:bottom w:val="single" w:sz="4" w:space="0" w:color="auto"/>
              <w:right w:val="single" w:sz="4" w:space="0" w:color="auto"/>
            </w:tcBorders>
            <w:noWrap/>
            <w:vAlign w:val="bottom"/>
            <w:hideMark/>
          </w:tcPr>
          <w:p w14:paraId="620D7888" w14:textId="77777777" w:rsidR="00C94689" w:rsidRPr="00B068BF" w:rsidRDefault="00C94689" w:rsidP="00955B80">
            <w:pPr>
              <w:spacing w:after="0" w:line="240" w:lineRule="auto"/>
              <w:jc w:val="center"/>
              <w:rPr>
                <w:rFonts w:ascii="Times New Roman" w:eastAsia="Calibri" w:hAnsi="Times New Roman" w:cs="Times New Roman"/>
                <w:sz w:val="20"/>
                <w:szCs w:val="20"/>
                <w:lang w:eastAsia="ru-RU"/>
              </w:rPr>
            </w:pPr>
            <w:r w:rsidRPr="00B068BF">
              <w:rPr>
                <w:rFonts w:ascii="Times New Roman" w:eastAsia="Calibri" w:hAnsi="Times New Roman" w:cs="Times New Roman"/>
                <w:sz w:val="20"/>
                <w:szCs w:val="20"/>
                <w:lang w:eastAsia="ru-RU"/>
              </w:rPr>
              <w:t>5 054</w:t>
            </w:r>
          </w:p>
        </w:tc>
        <w:tc>
          <w:tcPr>
            <w:tcW w:w="1610" w:type="dxa"/>
            <w:tcBorders>
              <w:top w:val="nil"/>
              <w:left w:val="nil"/>
              <w:bottom w:val="single" w:sz="4" w:space="0" w:color="auto"/>
              <w:right w:val="single" w:sz="4" w:space="0" w:color="auto"/>
            </w:tcBorders>
            <w:vAlign w:val="bottom"/>
            <w:hideMark/>
          </w:tcPr>
          <w:p w14:paraId="39D5E621" w14:textId="77777777" w:rsidR="00C94689" w:rsidRPr="00B068BF" w:rsidRDefault="00C94689" w:rsidP="00955B80">
            <w:pPr>
              <w:spacing w:after="0" w:line="240" w:lineRule="auto"/>
              <w:jc w:val="center"/>
              <w:rPr>
                <w:rFonts w:ascii="Times New Roman" w:eastAsia="Calibri" w:hAnsi="Times New Roman" w:cs="Times New Roman"/>
                <w:sz w:val="20"/>
                <w:szCs w:val="20"/>
                <w:lang w:eastAsia="ru-RU"/>
              </w:rPr>
            </w:pPr>
            <w:r w:rsidRPr="00B068BF">
              <w:rPr>
                <w:rFonts w:ascii="Times New Roman" w:eastAsia="Calibri" w:hAnsi="Times New Roman" w:cs="Times New Roman"/>
                <w:sz w:val="20"/>
                <w:szCs w:val="20"/>
                <w:lang w:eastAsia="ru-RU"/>
              </w:rPr>
              <w:t>18 189 849</w:t>
            </w:r>
          </w:p>
        </w:tc>
      </w:tr>
    </w:tbl>
    <w:p w14:paraId="7FFE28C8" w14:textId="77777777" w:rsidR="00C94689" w:rsidRPr="00B068BF" w:rsidRDefault="00C94689" w:rsidP="00C94689">
      <w:pPr>
        <w:pStyle w:val="a3"/>
        <w:autoSpaceDE w:val="0"/>
        <w:autoSpaceDN w:val="0"/>
        <w:adjustRightInd w:val="0"/>
        <w:spacing w:after="0" w:line="240" w:lineRule="auto"/>
        <w:ind w:left="630"/>
        <w:jc w:val="both"/>
        <w:rPr>
          <w:rFonts w:ascii="Times New Roman" w:eastAsia="Calibri" w:hAnsi="Times New Roman" w:cs="Times New Roman"/>
          <w:sz w:val="28"/>
          <w:szCs w:val="28"/>
        </w:rPr>
      </w:pPr>
    </w:p>
    <w:p w14:paraId="546F86ED" w14:textId="77777777" w:rsidR="00C94689" w:rsidRPr="00B068BF" w:rsidRDefault="00C94689" w:rsidP="00C94689">
      <w:pPr>
        <w:autoSpaceDE w:val="0"/>
        <w:autoSpaceDN w:val="0"/>
        <w:adjustRightInd w:val="0"/>
        <w:spacing w:after="0" w:line="240" w:lineRule="auto"/>
        <w:ind w:firstLine="270"/>
        <w:jc w:val="both"/>
        <w:rPr>
          <w:rFonts w:ascii="Times New Roman" w:eastAsia="Calibri" w:hAnsi="Times New Roman" w:cs="Times New Roman"/>
          <w:sz w:val="24"/>
          <w:szCs w:val="24"/>
          <w:lang w:val="ru-RU"/>
        </w:rPr>
      </w:pPr>
      <w:r w:rsidRPr="00B068BF">
        <w:rPr>
          <w:rFonts w:ascii="Times New Roman" w:eastAsia="Calibri" w:hAnsi="Times New Roman" w:cs="Times New Roman"/>
          <w:sz w:val="24"/>
          <w:szCs w:val="24"/>
          <w:lang w:val="ru-RU"/>
        </w:rPr>
        <w:t>Национальным Банком и банками за 2022 год было выявлено 391</w:t>
      </w:r>
      <w:r w:rsidRPr="00B068BF">
        <w:rPr>
          <w:rFonts w:ascii="Times New Roman" w:eastAsia="Calibri" w:hAnsi="Times New Roman" w:cs="Times New Roman"/>
          <w:sz w:val="24"/>
          <w:szCs w:val="24"/>
        </w:rPr>
        <w:t> </w:t>
      </w:r>
      <w:r w:rsidRPr="00B068BF">
        <w:rPr>
          <w:rFonts w:ascii="Times New Roman" w:eastAsia="Calibri" w:hAnsi="Times New Roman" w:cs="Times New Roman"/>
          <w:sz w:val="24"/>
          <w:szCs w:val="24"/>
          <w:lang w:val="ru-RU"/>
        </w:rPr>
        <w:t>поддельных денежных знака на сумму 1</w:t>
      </w:r>
      <w:r w:rsidRPr="00B068BF">
        <w:rPr>
          <w:rFonts w:ascii="Times New Roman" w:eastAsia="Calibri" w:hAnsi="Times New Roman" w:cs="Times New Roman"/>
          <w:sz w:val="24"/>
          <w:szCs w:val="24"/>
        </w:rPr>
        <w:t> </w:t>
      </w:r>
      <w:r w:rsidRPr="00B068BF">
        <w:rPr>
          <w:rFonts w:ascii="Times New Roman" w:eastAsia="Calibri" w:hAnsi="Times New Roman" w:cs="Times New Roman"/>
          <w:sz w:val="24"/>
          <w:szCs w:val="24"/>
          <w:lang w:val="ru-RU"/>
        </w:rPr>
        <w:t>237 250 тенге, из них 386 банкнот и 5</w:t>
      </w:r>
      <w:r w:rsidRPr="00B068BF">
        <w:rPr>
          <w:rFonts w:ascii="Times New Roman" w:eastAsia="Calibri" w:hAnsi="Times New Roman" w:cs="Times New Roman"/>
          <w:sz w:val="24"/>
          <w:szCs w:val="24"/>
        </w:rPr>
        <w:t> </w:t>
      </w:r>
      <w:r w:rsidRPr="00B068BF">
        <w:rPr>
          <w:rFonts w:ascii="Times New Roman" w:eastAsia="Calibri" w:hAnsi="Times New Roman" w:cs="Times New Roman"/>
          <w:sz w:val="24"/>
          <w:szCs w:val="24"/>
          <w:lang w:val="ru-RU"/>
        </w:rPr>
        <w:t>монет (рисунок 1).</w:t>
      </w:r>
    </w:p>
    <w:p w14:paraId="55981F1E" w14:textId="77777777" w:rsidR="00C94689" w:rsidRPr="00B068BF" w:rsidRDefault="00C94689" w:rsidP="007A7ED2">
      <w:pPr>
        <w:autoSpaceDE w:val="0"/>
        <w:autoSpaceDN w:val="0"/>
        <w:adjustRightInd w:val="0"/>
        <w:spacing w:after="0" w:line="240" w:lineRule="auto"/>
        <w:ind w:firstLine="270"/>
        <w:jc w:val="both"/>
        <w:rPr>
          <w:rFonts w:ascii="Times New Roman" w:eastAsia="Calibri" w:hAnsi="Times New Roman" w:cs="Times New Roman"/>
          <w:sz w:val="24"/>
          <w:szCs w:val="24"/>
          <w:lang w:val="kk-KZ"/>
        </w:rPr>
      </w:pPr>
      <w:r w:rsidRPr="00B068BF">
        <w:rPr>
          <w:rFonts w:ascii="Times New Roman" w:eastAsia="Calibri" w:hAnsi="Times New Roman" w:cs="Times New Roman"/>
          <w:sz w:val="24"/>
          <w:szCs w:val="24"/>
          <w:lang w:val="ru-RU"/>
        </w:rPr>
        <w:t xml:space="preserve">Количество выявленных поддельных денежных знаков в 2022 году снизилось на 24,7% по сравнению с 2021 годом (519 поддельных денежных знака). </w:t>
      </w:r>
      <w:r w:rsidRPr="00B068BF">
        <w:rPr>
          <w:rFonts w:ascii="Times New Roman" w:eastAsia="Calibri" w:hAnsi="Times New Roman" w:cs="Times New Roman"/>
          <w:sz w:val="24"/>
          <w:szCs w:val="24"/>
          <w:lang w:val="ru-RU" w:eastAsia="ru-RU"/>
        </w:rPr>
        <w:t xml:space="preserve">Анализ количества поддельных денежных знаков в разрезе номиналов и годов выпуска показал, что наиболее часто </w:t>
      </w:r>
      <w:r w:rsidRPr="00B068BF">
        <w:rPr>
          <w:rFonts w:ascii="Times New Roman" w:eastAsia="Calibri" w:hAnsi="Times New Roman" w:cs="Times New Roman"/>
          <w:sz w:val="24"/>
          <w:szCs w:val="24"/>
          <w:lang w:val="ru-RU"/>
        </w:rPr>
        <w:t>подделывались следующие банкноты: номиналом 2000 тенге – 238 штук (60% от общего количества выявленных подделок), 10 000</w:t>
      </w:r>
      <w:r w:rsidRPr="00B068BF">
        <w:rPr>
          <w:rFonts w:ascii="Times New Roman" w:eastAsia="Calibri" w:hAnsi="Times New Roman" w:cs="Times New Roman"/>
          <w:sz w:val="24"/>
          <w:szCs w:val="24"/>
        </w:rPr>
        <w:t> </w:t>
      </w:r>
      <w:r w:rsidRPr="00B068BF">
        <w:rPr>
          <w:rFonts w:ascii="Times New Roman" w:eastAsia="Calibri" w:hAnsi="Times New Roman" w:cs="Times New Roman"/>
          <w:sz w:val="24"/>
          <w:szCs w:val="24"/>
          <w:lang w:val="ru-RU"/>
        </w:rPr>
        <w:t>тенге – 55 штук (14%), 500 тенге – 50 штук (12,8%) (рисунок 2).</w:t>
      </w:r>
    </w:p>
    <w:p w14:paraId="47EEA6C0" w14:textId="77777777" w:rsidR="00C94689" w:rsidRPr="00B068BF" w:rsidRDefault="00C94689" w:rsidP="00C94689">
      <w:pPr>
        <w:pStyle w:val="a3"/>
        <w:keepNext/>
        <w:spacing w:after="0" w:line="240" w:lineRule="auto"/>
        <w:ind w:left="630"/>
        <w:jc w:val="right"/>
        <w:rPr>
          <w:rFonts w:ascii="Times New Roman" w:hAnsi="Times New Roman" w:cs="Times New Roman"/>
          <w:b/>
          <w:sz w:val="24"/>
          <w:szCs w:val="24"/>
          <w:lang w:val="ru-RU"/>
        </w:rPr>
      </w:pPr>
      <w:r w:rsidRPr="00B068BF">
        <w:rPr>
          <w:rFonts w:ascii="Times New Roman" w:eastAsia="Calibri" w:hAnsi="Times New Roman" w:cs="Times New Roman"/>
          <w:sz w:val="24"/>
          <w:szCs w:val="24"/>
          <w:lang w:val="kk-KZ"/>
        </w:rPr>
        <w:t>Рисунок 1</w:t>
      </w:r>
    </w:p>
    <w:p w14:paraId="29800053" w14:textId="77777777" w:rsidR="008E1AD2" w:rsidRPr="00B068BF" w:rsidRDefault="008E1AD2" w:rsidP="00C94689">
      <w:pPr>
        <w:spacing w:after="0" w:line="240" w:lineRule="auto"/>
        <w:jc w:val="center"/>
        <w:rPr>
          <w:rFonts w:ascii="Times New Roman" w:eastAsia="Calibri" w:hAnsi="Times New Roman" w:cs="Times New Roman"/>
          <w:color w:val="000000"/>
          <w:lang w:val="ru-RU"/>
        </w:rPr>
      </w:pPr>
    </w:p>
    <w:p w14:paraId="2E992B32" w14:textId="77777777" w:rsidR="00D6459F" w:rsidRPr="00B068BF" w:rsidRDefault="00C94689" w:rsidP="00C94689">
      <w:pPr>
        <w:spacing w:after="0" w:line="240" w:lineRule="auto"/>
        <w:jc w:val="center"/>
        <w:rPr>
          <w:rFonts w:ascii="Times New Roman" w:eastAsia="Calibri" w:hAnsi="Times New Roman" w:cs="Times New Roman"/>
          <w:color w:val="000000"/>
          <w:lang w:val="ru-RU"/>
        </w:rPr>
      </w:pPr>
      <w:r w:rsidRPr="00B068BF">
        <w:rPr>
          <w:rFonts w:ascii="Times New Roman" w:hAnsi="Times New Roman" w:cs="Times New Roman"/>
          <w:noProof/>
          <w:lang w:val="ru-RU" w:eastAsia="ru-RU"/>
        </w:rPr>
        <w:drawing>
          <wp:inline distT="0" distB="0" distL="0" distR="0" wp14:anchorId="5F6049D8" wp14:editId="0BFDCB2C">
            <wp:extent cx="2695492" cy="1878026"/>
            <wp:effectExtent l="0" t="0" r="0" b="8255"/>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451AFC19" w14:textId="77777777" w:rsidR="008E1AD2" w:rsidRPr="00B068BF" w:rsidRDefault="008E1AD2" w:rsidP="008E1AD2">
      <w:pPr>
        <w:keepNext/>
        <w:spacing w:after="0" w:line="240" w:lineRule="auto"/>
        <w:ind w:firstLine="709"/>
        <w:jc w:val="right"/>
        <w:rPr>
          <w:rFonts w:ascii="Times New Roman" w:hAnsi="Times New Roman" w:cs="Times New Roman"/>
          <w:sz w:val="24"/>
          <w:szCs w:val="24"/>
          <w:lang w:val="kk-KZ"/>
        </w:rPr>
      </w:pPr>
      <w:r w:rsidRPr="00B068BF">
        <w:rPr>
          <w:rFonts w:ascii="Times New Roman" w:hAnsi="Times New Roman" w:cs="Times New Roman"/>
          <w:sz w:val="24"/>
          <w:szCs w:val="24"/>
          <w:lang w:val="kk-KZ"/>
        </w:rPr>
        <w:t>Рисунок 2</w:t>
      </w:r>
    </w:p>
    <w:p w14:paraId="37462A3E" w14:textId="77777777" w:rsidR="008E1AD2" w:rsidRPr="00B068BF" w:rsidRDefault="008E1AD2" w:rsidP="008E1AD2">
      <w:pPr>
        <w:keepNext/>
        <w:spacing w:after="0" w:line="240" w:lineRule="auto"/>
        <w:jc w:val="center"/>
        <w:rPr>
          <w:rFonts w:ascii="Times New Roman" w:hAnsi="Times New Roman" w:cs="Times New Roman"/>
          <w:b/>
          <w:sz w:val="24"/>
          <w:szCs w:val="24"/>
          <w:lang w:val="kk-KZ"/>
        </w:rPr>
      </w:pPr>
      <w:r w:rsidRPr="00B068BF">
        <w:rPr>
          <w:rFonts w:ascii="Times New Roman" w:hAnsi="Times New Roman" w:cs="Times New Roman"/>
          <w:b/>
          <w:sz w:val="24"/>
          <w:szCs w:val="24"/>
          <w:lang w:val="kk-KZ"/>
        </w:rPr>
        <w:t>Поддельные денежные знаки, выявленные за 202</w:t>
      </w:r>
      <w:r w:rsidRPr="00B068BF">
        <w:rPr>
          <w:rFonts w:ascii="Times New Roman" w:hAnsi="Times New Roman" w:cs="Times New Roman"/>
          <w:b/>
          <w:sz w:val="24"/>
          <w:szCs w:val="24"/>
          <w:lang w:val="ru-RU"/>
        </w:rPr>
        <w:t>1</w:t>
      </w:r>
      <w:r w:rsidRPr="00B068BF">
        <w:rPr>
          <w:rFonts w:ascii="Times New Roman" w:hAnsi="Times New Roman" w:cs="Times New Roman"/>
          <w:b/>
          <w:sz w:val="24"/>
          <w:szCs w:val="24"/>
          <w:lang w:val="kk-KZ"/>
        </w:rPr>
        <w:t>-202</w:t>
      </w:r>
      <w:r w:rsidRPr="00B068BF">
        <w:rPr>
          <w:rFonts w:ascii="Times New Roman" w:hAnsi="Times New Roman" w:cs="Times New Roman"/>
          <w:b/>
          <w:sz w:val="24"/>
          <w:szCs w:val="24"/>
          <w:lang w:val="ru-RU"/>
        </w:rPr>
        <w:t>2</w:t>
      </w:r>
      <w:r w:rsidRPr="00B068BF">
        <w:rPr>
          <w:rFonts w:ascii="Times New Roman" w:hAnsi="Times New Roman" w:cs="Times New Roman"/>
          <w:b/>
          <w:sz w:val="24"/>
          <w:szCs w:val="24"/>
          <w:lang w:val="kk-KZ"/>
        </w:rPr>
        <w:t xml:space="preserve"> годы,</w:t>
      </w:r>
      <w:r w:rsidRPr="00B068BF">
        <w:rPr>
          <w:rFonts w:ascii="Times New Roman" w:hAnsi="Times New Roman" w:cs="Times New Roman"/>
          <w:b/>
          <w:sz w:val="24"/>
          <w:szCs w:val="24"/>
          <w:lang w:val="ru-RU"/>
        </w:rPr>
        <w:t xml:space="preserve"> </w:t>
      </w:r>
      <w:r w:rsidRPr="00B068BF">
        <w:rPr>
          <w:rFonts w:ascii="Times New Roman" w:hAnsi="Times New Roman" w:cs="Times New Roman"/>
          <w:b/>
          <w:sz w:val="24"/>
          <w:szCs w:val="24"/>
          <w:lang w:val="kk-KZ"/>
        </w:rPr>
        <w:t>в разрезе номиналов</w:t>
      </w:r>
    </w:p>
    <w:p w14:paraId="19CF5A3A" w14:textId="77777777" w:rsidR="008E1AD2" w:rsidRPr="00B068BF" w:rsidRDefault="008E1AD2" w:rsidP="00C94689">
      <w:pPr>
        <w:spacing w:after="0" w:line="240" w:lineRule="auto"/>
        <w:jc w:val="center"/>
        <w:rPr>
          <w:rFonts w:ascii="Times New Roman" w:eastAsia="Calibri" w:hAnsi="Times New Roman" w:cs="Times New Roman"/>
          <w:color w:val="000000"/>
          <w:lang w:val="ru-RU"/>
        </w:rPr>
      </w:pPr>
    </w:p>
    <w:p w14:paraId="42C52468" w14:textId="77777777" w:rsidR="008E1AD2" w:rsidRPr="00B068BF" w:rsidRDefault="008E1AD2" w:rsidP="008E1AD2">
      <w:pPr>
        <w:spacing w:after="0" w:line="240" w:lineRule="auto"/>
        <w:rPr>
          <w:rFonts w:ascii="Times New Roman" w:eastAsia="Calibri" w:hAnsi="Times New Roman" w:cs="Times New Roman"/>
          <w:color w:val="000000"/>
          <w:lang w:val="ru-RU"/>
        </w:rPr>
      </w:pPr>
      <w:r w:rsidRPr="00B068BF">
        <w:rPr>
          <w:rFonts w:ascii="Times New Roman" w:hAnsi="Times New Roman" w:cs="Times New Roman"/>
          <w:noProof/>
          <w:lang w:val="ru-RU" w:eastAsia="ru-RU"/>
        </w:rPr>
        <w:drawing>
          <wp:inline distT="0" distB="0" distL="0" distR="0" wp14:anchorId="22681973" wp14:editId="0EA508AD">
            <wp:extent cx="2847975" cy="2324100"/>
            <wp:effectExtent l="0" t="0" r="0" b="0"/>
            <wp:docPr id="69"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r w:rsidRPr="00B068BF">
        <w:rPr>
          <w:rFonts w:ascii="Times New Roman" w:eastAsia="Calibri" w:hAnsi="Times New Roman" w:cs="Times New Roman"/>
          <w:color w:val="000000"/>
          <w:lang w:val="ru-RU"/>
        </w:rPr>
        <w:t xml:space="preserve">  </w:t>
      </w:r>
      <w:r w:rsidRPr="00B068BF">
        <w:rPr>
          <w:rFonts w:ascii="Times New Roman" w:hAnsi="Times New Roman" w:cs="Times New Roman"/>
          <w:noProof/>
          <w:lang w:val="ru-RU" w:eastAsia="ru-RU"/>
        </w:rPr>
        <w:drawing>
          <wp:inline distT="0" distB="0" distL="0" distR="0" wp14:anchorId="6C4A9BA7" wp14:editId="05424876">
            <wp:extent cx="2178050" cy="2099144"/>
            <wp:effectExtent l="0" t="0" r="0" b="0"/>
            <wp:docPr id="70"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2012929C" w14:textId="77777777" w:rsidR="008E1AD2" w:rsidRPr="00AE2FCB" w:rsidRDefault="008E1AD2" w:rsidP="008E1AD2">
      <w:pPr>
        <w:spacing w:after="0" w:line="240" w:lineRule="auto"/>
        <w:jc w:val="both"/>
        <w:rPr>
          <w:rFonts w:ascii="Times New Roman" w:hAnsi="Times New Roman" w:cs="Times New Roman"/>
          <w:sz w:val="20"/>
          <w:szCs w:val="20"/>
          <w:lang w:val="kk-KZ" w:eastAsia="ru-RU"/>
        </w:rPr>
      </w:pPr>
      <w:r w:rsidRPr="00AE2FCB">
        <w:rPr>
          <w:rFonts w:ascii="Times New Roman" w:hAnsi="Times New Roman" w:cs="Times New Roman"/>
          <w:sz w:val="20"/>
          <w:szCs w:val="20"/>
          <w:lang w:val="ru-RU" w:eastAsia="ru-RU"/>
        </w:rPr>
        <w:t xml:space="preserve">     </w:t>
      </w:r>
      <w:r w:rsidRPr="00AE2FCB">
        <w:rPr>
          <w:rFonts w:ascii="Times New Roman" w:hAnsi="Times New Roman" w:cs="Times New Roman"/>
          <w:sz w:val="20"/>
          <w:szCs w:val="20"/>
          <w:lang w:val="kk-KZ" w:eastAsia="ru-RU"/>
        </w:rPr>
        <w:t xml:space="preserve">Категория </w:t>
      </w:r>
      <w:r w:rsidRPr="00AE2FCB">
        <w:rPr>
          <w:rFonts w:ascii="Times New Roman" w:hAnsi="Times New Roman" w:cs="Times New Roman"/>
          <w:sz w:val="20"/>
          <w:szCs w:val="20"/>
          <w:lang w:val="ru-RU" w:eastAsia="ru-RU"/>
        </w:rPr>
        <w:t>«П</w:t>
      </w:r>
      <w:r w:rsidRPr="00AE2FCB">
        <w:rPr>
          <w:rFonts w:ascii="Times New Roman" w:hAnsi="Times New Roman" w:cs="Times New Roman"/>
          <w:sz w:val="20"/>
          <w:szCs w:val="20"/>
          <w:lang w:val="kk-KZ" w:eastAsia="ru-RU"/>
        </w:rPr>
        <w:t>рочие» включает данные по 50, 100 и 20 000 тенге</w:t>
      </w:r>
    </w:p>
    <w:p w14:paraId="2D6D8F57" w14:textId="77777777" w:rsidR="00AE2FCB" w:rsidRDefault="00AE2FCB" w:rsidP="00C94689">
      <w:pPr>
        <w:keepNext/>
        <w:spacing w:after="0" w:line="240" w:lineRule="auto"/>
        <w:ind w:firstLine="270"/>
        <w:jc w:val="both"/>
        <w:rPr>
          <w:rFonts w:ascii="Times New Roman" w:eastAsia="Calibri" w:hAnsi="Times New Roman" w:cs="Times New Roman"/>
          <w:sz w:val="24"/>
          <w:szCs w:val="24"/>
          <w:lang w:val="ru-RU"/>
        </w:rPr>
      </w:pPr>
    </w:p>
    <w:p w14:paraId="038F2293" w14:textId="2125424F" w:rsidR="00C94689" w:rsidRPr="00B068BF" w:rsidRDefault="00C94689" w:rsidP="00C94689">
      <w:pPr>
        <w:keepNext/>
        <w:spacing w:after="0" w:line="240" w:lineRule="auto"/>
        <w:ind w:firstLine="270"/>
        <w:jc w:val="both"/>
        <w:rPr>
          <w:rFonts w:ascii="Times New Roman" w:eastAsia="Calibri" w:hAnsi="Times New Roman" w:cs="Times New Roman"/>
          <w:sz w:val="24"/>
          <w:szCs w:val="24"/>
          <w:lang w:val="ru-RU"/>
        </w:rPr>
      </w:pPr>
      <w:r w:rsidRPr="00B068BF">
        <w:rPr>
          <w:rFonts w:ascii="Times New Roman" w:eastAsia="Calibri" w:hAnsi="Times New Roman" w:cs="Times New Roman"/>
          <w:sz w:val="24"/>
          <w:szCs w:val="24"/>
          <w:lang w:val="ru-RU"/>
        </w:rPr>
        <w:t xml:space="preserve">По состоянию на конец 2022 года на один миллион выпущенных в обращение подлинных банкнот пришлось 0,5 шт. поддельной банкноты. Данный показатель </w:t>
      </w:r>
      <w:r w:rsidRPr="00B068BF">
        <w:rPr>
          <w:rFonts w:ascii="Times New Roman" w:eastAsia="Calibri" w:hAnsi="Times New Roman" w:cs="Times New Roman"/>
          <w:sz w:val="24"/>
          <w:szCs w:val="24"/>
          <w:lang w:val="ru-RU"/>
        </w:rPr>
        <w:lastRenderedPageBreak/>
        <w:t>считается низким</w:t>
      </w:r>
      <w:r w:rsidR="008E1AD2" w:rsidRPr="00B068BF">
        <w:rPr>
          <w:rFonts w:ascii="Times New Roman" w:eastAsia="Calibri" w:hAnsi="Times New Roman" w:cs="Times New Roman"/>
          <w:sz w:val="24"/>
          <w:szCs w:val="24"/>
          <w:lang w:val="ru-RU"/>
        </w:rPr>
        <w:t xml:space="preserve"> </w:t>
      </w:r>
      <w:r w:rsidRPr="00B068BF">
        <w:rPr>
          <w:rFonts w:ascii="Times New Roman" w:eastAsia="Calibri" w:hAnsi="Times New Roman" w:cs="Times New Roman"/>
          <w:sz w:val="24"/>
          <w:szCs w:val="24"/>
          <w:lang w:val="ru-RU"/>
        </w:rPr>
        <w:t>уровнем фальшивомонетчества по сравнению с другими государствами (в странах Евросоюза – 15 поддельных банкнот, в Российской Федерации – 4 поддельных банкнот).</w:t>
      </w:r>
    </w:p>
    <w:p w14:paraId="252E01D9" w14:textId="77777777" w:rsidR="00535352" w:rsidRPr="00B068BF" w:rsidRDefault="00535352" w:rsidP="008E1AD2">
      <w:pPr>
        <w:spacing w:after="0" w:line="240" w:lineRule="auto"/>
        <w:ind w:firstLine="270"/>
        <w:jc w:val="both"/>
        <w:rPr>
          <w:rFonts w:ascii="Times New Roman" w:eastAsia="Calibri" w:hAnsi="Times New Roman" w:cs="Times New Roman"/>
          <w:color w:val="000000"/>
          <w:sz w:val="24"/>
          <w:szCs w:val="24"/>
          <w:lang w:val="ru-RU"/>
        </w:rPr>
      </w:pPr>
      <w:r w:rsidRPr="00B068BF">
        <w:rPr>
          <w:rFonts w:ascii="Times New Roman" w:eastAsia="Calibri" w:hAnsi="Times New Roman" w:cs="Times New Roman"/>
          <w:color w:val="000000"/>
          <w:sz w:val="24"/>
          <w:szCs w:val="24"/>
          <w:lang w:val="ru-RU"/>
        </w:rPr>
        <w:t>Поддельные банкноты изготовлены с использованием компьютерной техники (оцифровка подлинного изображения и ее печать на цветном лазерном принтере), при этом отсутствуют признаки печати на полиграфическом оборудовании.</w:t>
      </w:r>
    </w:p>
    <w:p w14:paraId="7109AE42" w14:textId="77777777" w:rsidR="00535352" w:rsidRPr="00B068BF" w:rsidRDefault="00535352" w:rsidP="00D6459F">
      <w:pPr>
        <w:spacing w:after="0" w:line="240" w:lineRule="auto"/>
        <w:jc w:val="both"/>
        <w:rPr>
          <w:rFonts w:ascii="Times New Roman" w:eastAsia="Calibri" w:hAnsi="Times New Roman" w:cs="Times New Roman"/>
          <w:color w:val="000000"/>
          <w:sz w:val="24"/>
          <w:szCs w:val="24"/>
          <w:lang w:val="ru-RU"/>
        </w:rPr>
      </w:pPr>
    </w:p>
    <w:p w14:paraId="1B6EFE4F" w14:textId="77777777" w:rsidR="00D6459F" w:rsidRPr="00B068BF" w:rsidRDefault="00D6459F" w:rsidP="00D6459F">
      <w:pPr>
        <w:pStyle w:val="a3"/>
        <w:numPr>
          <w:ilvl w:val="0"/>
          <w:numId w:val="5"/>
        </w:numPr>
        <w:spacing w:after="0" w:line="240" w:lineRule="auto"/>
        <w:jc w:val="both"/>
        <w:rPr>
          <w:rFonts w:ascii="Times New Roman" w:eastAsia="Calibri" w:hAnsi="Times New Roman" w:cs="Times New Roman"/>
          <w:b/>
          <w:color w:val="000000"/>
          <w:sz w:val="24"/>
          <w:szCs w:val="24"/>
          <w:lang w:val="ru-RU"/>
        </w:rPr>
      </w:pPr>
      <w:r w:rsidRPr="00B068BF">
        <w:rPr>
          <w:rFonts w:ascii="Times New Roman" w:eastAsia="Calibri" w:hAnsi="Times New Roman" w:cs="Times New Roman"/>
          <w:b/>
          <w:color w:val="000000"/>
          <w:sz w:val="24"/>
          <w:szCs w:val="24"/>
          <w:lang w:val="ru-RU"/>
        </w:rPr>
        <w:t>Национальный банк Кыргызской Республики</w:t>
      </w:r>
    </w:p>
    <w:p w14:paraId="0C1ED892" w14:textId="77777777" w:rsidR="007A7ED2" w:rsidRPr="00B068BF" w:rsidRDefault="007A7ED2" w:rsidP="007A7ED2">
      <w:pPr>
        <w:tabs>
          <w:tab w:val="left" w:pos="709"/>
          <w:tab w:val="left" w:pos="1693"/>
        </w:tabs>
        <w:spacing w:after="0" w:line="240" w:lineRule="auto"/>
        <w:ind w:firstLine="27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В 2022 году на территории Кыргызской Республики была выявлена 31 поддельная банкнота на общую сумму 9,5 тыс. сомов.</w:t>
      </w:r>
    </w:p>
    <w:p w14:paraId="1667118A" w14:textId="77777777" w:rsidR="007A7ED2" w:rsidRPr="00B068BF" w:rsidRDefault="007A7ED2" w:rsidP="007A7ED2">
      <w:pPr>
        <w:spacing w:after="0" w:line="240" w:lineRule="auto"/>
        <w:ind w:firstLine="27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Уровень фальшивомонетничества составил 0,1 поддельных банкнот на один миллион подлинных банкнот, что классифицируется как минимальный – 1-й уровень.</w:t>
      </w:r>
    </w:p>
    <w:p w14:paraId="0B188CF7" w14:textId="77777777" w:rsidR="00535352" w:rsidRPr="00B068BF" w:rsidRDefault="00535352" w:rsidP="00535352">
      <w:pPr>
        <w:spacing w:after="0" w:line="240" w:lineRule="auto"/>
        <w:jc w:val="both"/>
        <w:rPr>
          <w:rFonts w:ascii="Times New Roman" w:eastAsia="Calibri" w:hAnsi="Times New Roman" w:cs="Times New Roman"/>
          <w:b/>
          <w:color w:val="000000"/>
          <w:sz w:val="24"/>
          <w:szCs w:val="24"/>
          <w:lang w:val="ru-RU"/>
        </w:rPr>
      </w:pPr>
    </w:p>
    <w:p w14:paraId="47E48B30" w14:textId="77777777" w:rsidR="000F3E40" w:rsidRPr="00B068BF" w:rsidRDefault="000F3E40" w:rsidP="000F3E40">
      <w:pPr>
        <w:pStyle w:val="a3"/>
        <w:numPr>
          <w:ilvl w:val="0"/>
          <w:numId w:val="5"/>
        </w:numPr>
        <w:tabs>
          <w:tab w:val="left" w:pos="851"/>
        </w:tabs>
        <w:spacing w:after="0" w:line="240" w:lineRule="auto"/>
        <w:jc w:val="both"/>
        <w:rPr>
          <w:rFonts w:ascii="Times New Roman" w:hAnsi="Times New Roman" w:cs="Times New Roman"/>
          <w:b/>
          <w:sz w:val="24"/>
          <w:szCs w:val="24"/>
          <w:u w:val="single"/>
          <w:lang w:val="ru-RU"/>
        </w:rPr>
      </w:pPr>
      <w:r w:rsidRPr="00B068BF">
        <w:rPr>
          <w:rFonts w:ascii="Times New Roman" w:hAnsi="Times New Roman" w:cs="Times New Roman"/>
          <w:b/>
          <w:sz w:val="24"/>
          <w:szCs w:val="24"/>
          <w:lang w:val="ru-RU"/>
        </w:rPr>
        <w:t>Центральный банк Российской Федерации</w:t>
      </w:r>
    </w:p>
    <w:p w14:paraId="25BC97C4" w14:textId="77777777" w:rsidR="00535352" w:rsidRPr="00B068BF" w:rsidRDefault="00535352" w:rsidP="00535352">
      <w:pPr>
        <w:pStyle w:val="aa"/>
        <w:spacing w:after="0" w:line="240" w:lineRule="auto"/>
        <w:ind w:left="0" w:firstLine="27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По данным, полученным от территориальных учреждений Банка России, в 2022 году в банковской системе России были обнаружены, изъяты из платежного оборота и переданы в органы внутренних дел 22</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874</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поддельных денежных знака Банка России (22</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605 поддельных банкнот и 269 поддельных монет).</w:t>
      </w:r>
    </w:p>
    <w:p w14:paraId="4F170030" w14:textId="72933EF3" w:rsidR="008E1AD2" w:rsidRPr="00B068BF" w:rsidRDefault="00535352" w:rsidP="00535352">
      <w:pPr>
        <w:pStyle w:val="aa"/>
        <w:spacing w:after="0" w:line="240" w:lineRule="auto"/>
        <w:ind w:left="0" w:firstLine="27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Доля поддельных банкнот номиналом 5000 рублей уменьшилась на 14,3 процентного пункта и составила 62,0%. Доля поддельных банкнот номиналом 2000 рублей в общем числе подделок в 2022 году составила 19,0% (в 2021 году – 10,3%). Доля поддельных банкнот номиналом 1000 рублей в общем числе подделок в 2022 году составила 15,9% (в 2021 году – 11,5%).</w:t>
      </w:r>
    </w:p>
    <w:p w14:paraId="406EFDF1" w14:textId="77777777" w:rsidR="008E1AD2" w:rsidRPr="00B068BF" w:rsidRDefault="008E1AD2" w:rsidP="00535352">
      <w:pPr>
        <w:pStyle w:val="aa"/>
        <w:spacing w:after="0" w:line="240" w:lineRule="auto"/>
        <w:ind w:left="0" w:firstLine="270"/>
        <w:jc w:val="both"/>
        <w:rPr>
          <w:rFonts w:ascii="Times New Roman" w:hAnsi="Times New Roman" w:cs="Times New Roman"/>
          <w:sz w:val="24"/>
          <w:szCs w:val="24"/>
          <w:lang w:val="ru-RU"/>
        </w:rPr>
      </w:pPr>
    </w:p>
    <w:p w14:paraId="15944733" w14:textId="77777777" w:rsidR="00B068BF" w:rsidRDefault="00535352" w:rsidP="00535352">
      <w:pPr>
        <w:pStyle w:val="aa"/>
        <w:spacing w:after="0" w:line="240" w:lineRule="auto"/>
        <w:ind w:left="0" w:firstLine="270"/>
        <w:jc w:val="both"/>
        <w:rPr>
          <w:rFonts w:ascii="Times New Roman" w:hAnsi="Times New Roman" w:cs="Times New Roman"/>
          <w:noProof/>
          <w:sz w:val="24"/>
          <w:szCs w:val="24"/>
          <w:lang w:val="ru-RU" w:eastAsia="ru-RU"/>
        </w:rPr>
      </w:pPr>
      <w:r w:rsidRPr="00B068BF">
        <w:rPr>
          <w:rFonts w:ascii="Times New Roman" w:hAnsi="Times New Roman" w:cs="Times New Roman"/>
          <w:sz w:val="24"/>
          <w:szCs w:val="24"/>
          <w:lang w:val="ru-RU"/>
        </w:rPr>
        <w:t>Выявленные поддельные банкноты Банка России были изготовлены в основном (87,5%) с применением капельно-струйной печати.</w:t>
      </w:r>
    </w:p>
    <w:p w14:paraId="7D10CB7B" w14:textId="58A38E3B" w:rsidR="00535352" w:rsidRPr="00B068BF" w:rsidRDefault="00B068BF" w:rsidP="00B068BF">
      <w:pPr>
        <w:pStyle w:val="aa"/>
        <w:spacing w:after="0" w:line="240" w:lineRule="auto"/>
        <w:ind w:left="0"/>
        <w:jc w:val="both"/>
        <w:rPr>
          <w:rFonts w:ascii="Times New Roman" w:hAnsi="Times New Roman" w:cs="Times New Roman"/>
          <w:sz w:val="24"/>
          <w:szCs w:val="24"/>
          <w:lang w:val="ru-RU"/>
        </w:rPr>
      </w:pPr>
      <w:r w:rsidRPr="00B068BF">
        <w:rPr>
          <w:rFonts w:ascii="Times New Roman" w:hAnsi="Times New Roman" w:cs="Times New Roman"/>
          <w:noProof/>
          <w:sz w:val="24"/>
          <w:szCs w:val="24"/>
          <w:lang w:val="ru-RU" w:eastAsia="ru-RU"/>
        </w:rPr>
        <w:drawing>
          <wp:inline distT="0" distB="0" distL="0" distR="0" wp14:anchorId="7E342F81" wp14:editId="5B586D82">
            <wp:extent cx="5820238" cy="2584174"/>
            <wp:effectExtent l="0" t="0" r="0" b="6985"/>
            <wp:docPr id="39" name="Picture 39"/>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rotWithShape="1">
                    <a:blip r:embed="rId55" cstate="print">
                      <a:extLst>
                        <a:ext uri="{28A0092B-C50C-407E-A947-70E740481C1C}">
                          <a14:useLocalDpi xmlns:a14="http://schemas.microsoft.com/office/drawing/2010/main" val="0"/>
                        </a:ext>
                      </a:extLst>
                    </a:blip>
                    <a:srcRect/>
                    <a:stretch/>
                  </pic:blipFill>
                  <pic:spPr bwMode="auto">
                    <a:xfrm>
                      <a:off x="0" y="0"/>
                      <a:ext cx="5821200" cy="2584601"/>
                    </a:xfrm>
                    <a:prstGeom prst="rect">
                      <a:avLst/>
                    </a:prstGeom>
                    <a:ln>
                      <a:noFill/>
                    </a:ln>
                    <a:extLst>
                      <a:ext uri="{53640926-AAD7-44D8-BBD7-CCE9431645EC}">
                        <a14:shadowObscured xmlns:a14="http://schemas.microsoft.com/office/drawing/2010/main"/>
                      </a:ext>
                    </a:extLst>
                  </pic:spPr>
                </pic:pic>
              </a:graphicData>
            </a:graphic>
          </wp:inline>
        </w:drawing>
      </w:r>
    </w:p>
    <w:p w14:paraId="085B3216" w14:textId="77777777" w:rsidR="00535352" w:rsidRPr="00B068BF" w:rsidRDefault="00535352" w:rsidP="00535352">
      <w:pPr>
        <w:pStyle w:val="aa"/>
        <w:spacing w:after="0" w:line="240" w:lineRule="auto"/>
        <w:ind w:left="0" w:firstLine="27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Наибольшее количество поддельных денежных знаков выявлено в Центральном федеральном округе.</w:t>
      </w:r>
    </w:p>
    <w:p w14:paraId="3D0B5DD9" w14:textId="77777777" w:rsidR="00AE2FCB" w:rsidRDefault="00535352" w:rsidP="00430914">
      <w:pPr>
        <w:pStyle w:val="aa"/>
        <w:spacing w:after="0" w:line="240" w:lineRule="auto"/>
        <w:ind w:left="0" w:firstLine="27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В 2022 году было выявлено 1811 поддельных банкнот иностранных государств, из них: долларов США – 1</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558 шт., в том числе 1,4% из них класса «суперподделка»; евро – 238 шт., основная доля которых выполнена офсетной печатью (66,0%); китайских юаней – 10 шт.; фунтов стерлингов Соединенного королевства – 3 шт.; норвежских крон – 2 шт.</w:t>
      </w:r>
    </w:p>
    <w:p w14:paraId="2D9D27F9" w14:textId="17F56AB5" w:rsidR="00430914" w:rsidRDefault="00AE2FCB" w:rsidP="00430914">
      <w:pPr>
        <w:pStyle w:val="aa"/>
        <w:spacing w:after="0" w:line="240" w:lineRule="auto"/>
        <w:ind w:left="0" w:firstLine="270"/>
        <w:jc w:val="both"/>
        <w:rPr>
          <w:rFonts w:ascii="Times New Roman" w:hAnsi="Times New Roman" w:cs="Times New Roman"/>
          <w:sz w:val="24"/>
          <w:szCs w:val="24"/>
          <w:lang w:val="ru-RU"/>
        </w:rPr>
      </w:pPr>
      <w:r w:rsidRPr="00B068BF">
        <w:rPr>
          <w:rFonts w:ascii="Times New Roman" w:hAnsi="Times New Roman" w:cs="Times New Roman"/>
          <w:noProof/>
          <w:sz w:val="24"/>
          <w:szCs w:val="24"/>
          <w:lang w:val="ru-RU" w:eastAsia="ru-RU"/>
        </w:rPr>
        <w:lastRenderedPageBreak/>
        <w:drawing>
          <wp:inline distT="0" distB="0" distL="0" distR="0" wp14:anchorId="336CFE53" wp14:editId="227B3EDE">
            <wp:extent cx="5732366" cy="2250026"/>
            <wp:effectExtent l="0" t="0" r="1905" b="0"/>
            <wp:docPr id="43" name="Picture 43"/>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rotWithShape="1">
                    <a:blip r:embed="rId56" cstate="print">
                      <a:extLst>
                        <a:ext uri="{28A0092B-C50C-407E-A947-70E740481C1C}">
                          <a14:useLocalDpi xmlns:a14="http://schemas.microsoft.com/office/drawing/2010/main" val="0"/>
                        </a:ext>
                      </a:extLst>
                    </a:blip>
                    <a:srcRect/>
                    <a:stretch/>
                  </pic:blipFill>
                  <pic:spPr bwMode="auto">
                    <a:xfrm>
                      <a:off x="0" y="0"/>
                      <a:ext cx="5732780" cy="2250189"/>
                    </a:xfrm>
                    <a:prstGeom prst="rect">
                      <a:avLst/>
                    </a:prstGeom>
                    <a:ln>
                      <a:noFill/>
                    </a:ln>
                    <a:extLst>
                      <a:ext uri="{53640926-AAD7-44D8-BBD7-CCE9431645EC}">
                        <a14:shadowObscured xmlns:a14="http://schemas.microsoft.com/office/drawing/2010/main"/>
                      </a:ext>
                    </a:extLst>
                  </pic:spPr>
                </pic:pic>
              </a:graphicData>
            </a:graphic>
          </wp:inline>
        </w:drawing>
      </w:r>
    </w:p>
    <w:p w14:paraId="58DF6E47" w14:textId="77777777" w:rsidR="00535352" w:rsidRPr="00B068BF" w:rsidRDefault="00535352" w:rsidP="008E1AD2">
      <w:pPr>
        <w:spacing w:after="0" w:line="240" w:lineRule="auto"/>
        <w:ind w:firstLine="27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Одновременно сообщаем, что с 9 по 11 августа 2022 года в г.</w:t>
      </w:r>
      <w:r w:rsidRPr="00B068BF">
        <w:rPr>
          <w:rFonts w:ascii="Times New Roman" w:hAnsi="Times New Roman" w:cs="Times New Roman"/>
          <w:sz w:val="24"/>
          <w:szCs w:val="24"/>
        </w:rPr>
        <w:t> </w:t>
      </w:r>
      <w:r w:rsidRPr="00B068BF">
        <w:rPr>
          <w:rFonts w:ascii="Times New Roman" w:hAnsi="Times New Roman" w:cs="Times New Roman"/>
          <w:sz w:val="24"/>
          <w:szCs w:val="24"/>
          <w:lang w:val="ru-RU"/>
        </w:rPr>
        <w:t>Москве Банком России был проведен международный семинар по теме «Актуальные вопросы профилактики фальшивомонетничества и экспертизы денежных знаков». В семинаре приняли участие представители центральных (национальных) банков Республики Беларусь, Республики Казахстан, Кыргызской Республики, Республики Армения, Республики Узбекистан.</w:t>
      </w:r>
    </w:p>
    <w:p w14:paraId="0E9686E5" w14:textId="77777777" w:rsidR="00430914" w:rsidRPr="00B068BF" w:rsidRDefault="00430914" w:rsidP="00535352">
      <w:pPr>
        <w:spacing w:after="0" w:line="240" w:lineRule="auto"/>
        <w:jc w:val="both"/>
        <w:rPr>
          <w:rFonts w:ascii="Times New Roman" w:hAnsi="Times New Roman" w:cs="Times New Roman"/>
          <w:sz w:val="24"/>
          <w:szCs w:val="24"/>
          <w:lang w:val="ru-RU"/>
        </w:rPr>
      </w:pPr>
    </w:p>
    <w:p w14:paraId="3FC1A9C0" w14:textId="77777777" w:rsidR="00B91B91" w:rsidRPr="00B068BF" w:rsidRDefault="00B91B91" w:rsidP="00430914">
      <w:pPr>
        <w:pStyle w:val="a3"/>
        <w:numPr>
          <w:ilvl w:val="0"/>
          <w:numId w:val="5"/>
        </w:numPr>
        <w:spacing w:after="0" w:line="240" w:lineRule="auto"/>
        <w:jc w:val="both"/>
        <w:rPr>
          <w:rFonts w:ascii="Times New Roman" w:eastAsia="Calibri" w:hAnsi="Times New Roman" w:cs="Times New Roman"/>
          <w:b/>
          <w:color w:val="000000"/>
          <w:sz w:val="24"/>
          <w:szCs w:val="24"/>
          <w:lang w:val="ru-RU"/>
        </w:rPr>
      </w:pPr>
      <w:r w:rsidRPr="00B068BF">
        <w:rPr>
          <w:rFonts w:ascii="Times New Roman" w:eastAsia="Calibri" w:hAnsi="Times New Roman" w:cs="Times New Roman"/>
          <w:b/>
          <w:color w:val="000000"/>
          <w:sz w:val="24"/>
          <w:szCs w:val="24"/>
          <w:lang w:val="ru-RU"/>
        </w:rPr>
        <w:t>Национальный банк Таджикистана</w:t>
      </w:r>
    </w:p>
    <w:p w14:paraId="039A0B30" w14:textId="77777777" w:rsidR="005A11F9" w:rsidRPr="00B068BF" w:rsidRDefault="005A11F9" w:rsidP="005A11F9">
      <w:pPr>
        <w:spacing w:after="0" w:line="240" w:lineRule="auto"/>
        <w:ind w:firstLine="27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В банковской системе Республики Таджикистан за 2022 год выявлено всего 144 штуки поддельных денежных знаков.</w:t>
      </w:r>
    </w:p>
    <w:p w14:paraId="47ABDB26" w14:textId="77777777" w:rsidR="005A11F9" w:rsidRPr="00B068BF" w:rsidRDefault="005A11F9" w:rsidP="005A11F9">
      <w:pPr>
        <w:spacing w:after="0" w:line="240" w:lineRule="auto"/>
        <w:jc w:val="center"/>
        <w:rPr>
          <w:rFonts w:ascii="Times New Roman" w:hAnsi="Times New Roman" w:cs="Times New Roman"/>
          <w:lang w:val="ru-RU"/>
        </w:rPr>
      </w:pPr>
    </w:p>
    <w:tbl>
      <w:tblPr>
        <w:tblpPr w:leftFromText="180" w:rightFromText="180" w:vertAnchor="text" w:horzAnchor="page" w:tblpX="2448" w:tblpY="51"/>
        <w:tblW w:w="5040" w:type="dxa"/>
        <w:tblLook w:val="04A0" w:firstRow="1" w:lastRow="0" w:firstColumn="1" w:lastColumn="0" w:noHBand="0" w:noVBand="1"/>
      </w:tblPr>
      <w:tblGrid>
        <w:gridCol w:w="1366"/>
        <w:gridCol w:w="2160"/>
        <w:gridCol w:w="1514"/>
      </w:tblGrid>
      <w:tr w:rsidR="005A11F9" w:rsidRPr="00B068BF" w14:paraId="271A1891" w14:textId="77777777" w:rsidTr="005A11F9">
        <w:trPr>
          <w:trHeight w:val="323"/>
        </w:trPr>
        <w:tc>
          <w:tcPr>
            <w:tcW w:w="13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0308D0" w14:textId="77777777" w:rsidR="005A11F9" w:rsidRPr="00B068BF" w:rsidRDefault="005A11F9" w:rsidP="005A11F9">
            <w:pPr>
              <w:spacing w:after="0" w:line="240" w:lineRule="auto"/>
              <w:jc w:val="center"/>
              <w:rPr>
                <w:rFonts w:ascii="Times New Roman" w:eastAsia="Times New Roman" w:hAnsi="Times New Roman" w:cs="Times New Roman"/>
                <w:b/>
                <w:bCs/>
                <w:color w:val="000000"/>
                <w:sz w:val="20"/>
                <w:szCs w:val="20"/>
              </w:rPr>
            </w:pPr>
            <w:r w:rsidRPr="00B068BF">
              <w:rPr>
                <w:rFonts w:ascii="Times New Roman" w:eastAsia="Times New Roman" w:hAnsi="Times New Roman" w:cs="Times New Roman"/>
                <w:b/>
                <w:bCs/>
                <w:color w:val="000000"/>
                <w:sz w:val="20"/>
                <w:szCs w:val="20"/>
                <w:lang w:val="ru-RU"/>
              </w:rPr>
              <w:t>В</w:t>
            </w:r>
            <w:r w:rsidRPr="00B068BF">
              <w:rPr>
                <w:rFonts w:ascii="Times New Roman" w:eastAsia="Times New Roman" w:hAnsi="Times New Roman" w:cs="Times New Roman"/>
                <w:b/>
                <w:bCs/>
                <w:color w:val="000000"/>
                <w:sz w:val="20"/>
                <w:szCs w:val="20"/>
              </w:rPr>
              <w:t>ид</w:t>
            </w:r>
            <w:r w:rsidRPr="00B068BF">
              <w:rPr>
                <w:rFonts w:ascii="Times New Roman" w:eastAsia="Times New Roman" w:hAnsi="Times New Roman" w:cs="Times New Roman"/>
                <w:b/>
                <w:bCs/>
                <w:color w:val="000000"/>
                <w:sz w:val="20"/>
                <w:szCs w:val="20"/>
                <w:lang w:val="ru-RU"/>
              </w:rPr>
              <w:t xml:space="preserve"> </w:t>
            </w:r>
            <w:r w:rsidRPr="00B068BF">
              <w:rPr>
                <w:rFonts w:ascii="Times New Roman" w:eastAsia="Times New Roman" w:hAnsi="Times New Roman" w:cs="Times New Roman"/>
                <w:b/>
                <w:bCs/>
                <w:color w:val="000000"/>
                <w:sz w:val="20"/>
                <w:szCs w:val="20"/>
              </w:rPr>
              <w:t>валют</w:t>
            </w:r>
          </w:p>
        </w:tc>
        <w:tc>
          <w:tcPr>
            <w:tcW w:w="2160" w:type="dxa"/>
            <w:tcBorders>
              <w:top w:val="single" w:sz="4" w:space="0" w:color="auto"/>
              <w:left w:val="nil"/>
              <w:bottom w:val="single" w:sz="4" w:space="0" w:color="auto"/>
              <w:right w:val="single" w:sz="4" w:space="0" w:color="auto"/>
            </w:tcBorders>
            <w:shd w:val="clear" w:color="auto" w:fill="auto"/>
            <w:noWrap/>
            <w:vAlign w:val="bottom"/>
            <w:hideMark/>
          </w:tcPr>
          <w:p w14:paraId="3A75DC65" w14:textId="77777777" w:rsidR="005A11F9" w:rsidRPr="00B068BF" w:rsidRDefault="005A11F9" w:rsidP="005A11F9">
            <w:pPr>
              <w:spacing w:after="0" w:line="240" w:lineRule="auto"/>
              <w:jc w:val="center"/>
              <w:rPr>
                <w:rFonts w:ascii="Times New Roman" w:eastAsia="Times New Roman" w:hAnsi="Times New Roman" w:cs="Times New Roman"/>
                <w:b/>
                <w:bCs/>
                <w:color w:val="000000"/>
                <w:sz w:val="20"/>
                <w:szCs w:val="20"/>
              </w:rPr>
            </w:pPr>
            <w:r w:rsidRPr="00B068BF">
              <w:rPr>
                <w:rFonts w:ascii="Times New Roman" w:eastAsia="Times New Roman" w:hAnsi="Times New Roman" w:cs="Times New Roman"/>
                <w:b/>
                <w:bCs/>
                <w:color w:val="000000"/>
                <w:sz w:val="20"/>
                <w:szCs w:val="20"/>
                <w:lang w:val="ru-RU"/>
              </w:rPr>
              <w:t>К</w:t>
            </w:r>
            <w:r w:rsidRPr="00B068BF">
              <w:rPr>
                <w:rFonts w:ascii="Times New Roman" w:eastAsia="Times New Roman" w:hAnsi="Times New Roman" w:cs="Times New Roman"/>
                <w:b/>
                <w:bCs/>
                <w:color w:val="000000"/>
                <w:sz w:val="20"/>
                <w:szCs w:val="20"/>
              </w:rPr>
              <w:t>ол</w:t>
            </w:r>
            <w:r w:rsidRPr="00B068BF">
              <w:rPr>
                <w:rFonts w:ascii="Times New Roman" w:eastAsia="Times New Roman" w:hAnsi="Times New Roman" w:cs="Times New Roman"/>
                <w:b/>
                <w:bCs/>
                <w:color w:val="000000"/>
                <w:sz w:val="20"/>
                <w:szCs w:val="20"/>
                <w:lang w:val="ru-RU"/>
              </w:rPr>
              <w:t>ичество/</w:t>
            </w:r>
            <w:r w:rsidRPr="00B068BF">
              <w:rPr>
                <w:rFonts w:ascii="Times New Roman" w:eastAsia="Times New Roman" w:hAnsi="Times New Roman" w:cs="Times New Roman"/>
                <w:b/>
                <w:bCs/>
                <w:color w:val="000000"/>
                <w:sz w:val="20"/>
                <w:szCs w:val="20"/>
              </w:rPr>
              <w:t>шт.</w:t>
            </w:r>
          </w:p>
        </w:tc>
        <w:tc>
          <w:tcPr>
            <w:tcW w:w="1514" w:type="dxa"/>
            <w:tcBorders>
              <w:top w:val="single" w:sz="4" w:space="0" w:color="auto"/>
              <w:left w:val="nil"/>
              <w:bottom w:val="single" w:sz="4" w:space="0" w:color="auto"/>
              <w:right w:val="single" w:sz="4" w:space="0" w:color="auto"/>
            </w:tcBorders>
            <w:shd w:val="clear" w:color="auto" w:fill="auto"/>
            <w:noWrap/>
            <w:vAlign w:val="bottom"/>
            <w:hideMark/>
          </w:tcPr>
          <w:p w14:paraId="5694D772" w14:textId="77777777" w:rsidR="005A11F9" w:rsidRPr="00B068BF" w:rsidRDefault="005A11F9" w:rsidP="005A11F9">
            <w:pPr>
              <w:spacing w:after="0" w:line="240" w:lineRule="auto"/>
              <w:jc w:val="center"/>
              <w:rPr>
                <w:rFonts w:ascii="Times New Roman" w:eastAsia="Times New Roman" w:hAnsi="Times New Roman" w:cs="Times New Roman"/>
                <w:b/>
                <w:bCs/>
                <w:color w:val="000000"/>
                <w:sz w:val="20"/>
                <w:szCs w:val="20"/>
              </w:rPr>
            </w:pPr>
            <w:r w:rsidRPr="00B068BF">
              <w:rPr>
                <w:rFonts w:ascii="Times New Roman" w:eastAsia="Times New Roman" w:hAnsi="Times New Roman" w:cs="Times New Roman"/>
                <w:b/>
                <w:bCs/>
                <w:color w:val="000000"/>
                <w:sz w:val="20"/>
                <w:szCs w:val="20"/>
              </w:rPr>
              <w:t>%</w:t>
            </w:r>
          </w:p>
        </w:tc>
      </w:tr>
      <w:tr w:rsidR="005A11F9" w:rsidRPr="00B068BF" w14:paraId="79578450" w14:textId="77777777" w:rsidTr="005A11F9">
        <w:trPr>
          <w:trHeight w:val="402"/>
        </w:trPr>
        <w:tc>
          <w:tcPr>
            <w:tcW w:w="1366" w:type="dxa"/>
            <w:tcBorders>
              <w:top w:val="nil"/>
              <w:left w:val="single" w:sz="4" w:space="0" w:color="auto"/>
              <w:bottom w:val="single" w:sz="4" w:space="0" w:color="auto"/>
              <w:right w:val="single" w:sz="4" w:space="0" w:color="auto"/>
            </w:tcBorders>
            <w:shd w:val="clear" w:color="auto" w:fill="auto"/>
            <w:noWrap/>
            <w:vAlign w:val="bottom"/>
            <w:hideMark/>
          </w:tcPr>
          <w:p w14:paraId="2F2D3896" w14:textId="77777777" w:rsidR="005A11F9" w:rsidRPr="00B068BF" w:rsidRDefault="005A11F9" w:rsidP="005A11F9">
            <w:pPr>
              <w:spacing w:after="0" w:line="240" w:lineRule="auto"/>
              <w:jc w:val="center"/>
              <w:rPr>
                <w:rFonts w:ascii="Times New Roman" w:eastAsia="Times New Roman" w:hAnsi="Times New Roman" w:cs="Times New Roman"/>
                <w:color w:val="000000"/>
                <w:sz w:val="20"/>
                <w:szCs w:val="20"/>
              </w:rPr>
            </w:pPr>
            <w:r w:rsidRPr="00B068BF">
              <w:rPr>
                <w:rFonts w:ascii="Times New Roman" w:eastAsia="Times New Roman" w:hAnsi="Times New Roman" w:cs="Times New Roman"/>
                <w:color w:val="000000"/>
                <w:sz w:val="20"/>
                <w:szCs w:val="20"/>
              </w:rPr>
              <w:t>TJS</w:t>
            </w:r>
          </w:p>
        </w:tc>
        <w:tc>
          <w:tcPr>
            <w:tcW w:w="2160" w:type="dxa"/>
            <w:tcBorders>
              <w:top w:val="nil"/>
              <w:left w:val="nil"/>
              <w:bottom w:val="single" w:sz="4" w:space="0" w:color="auto"/>
              <w:right w:val="single" w:sz="4" w:space="0" w:color="auto"/>
            </w:tcBorders>
            <w:shd w:val="clear" w:color="auto" w:fill="auto"/>
            <w:noWrap/>
            <w:vAlign w:val="bottom"/>
            <w:hideMark/>
          </w:tcPr>
          <w:p w14:paraId="74E09806" w14:textId="77777777" w:rsidR="005A11F9" w:rsidRPr="00B068BF" w:rsidRDefault="005A11F9" w:rsidP="005A11F9">
            <w:pPr>
              <w:spacing w:after="0" w:line="240" w:lineRule="auto"/>
              <w:jc w:val="center"/>
              <w:rPr>
                <w:rFonts w:ascii="Times New Roman" w:eastAsia="Times New Roman" w:hAnsi="Times New Roman" w:cs="Times New Roman"/>
                <w:color w:val="000000"/>
                <w:sz w:val="20"/>
                <w:szCs w:val="20"/>
              </w:rPr>
            </w:pPr>
            <w:r w:rsidRPr="00B068BF">
              <w:rPr>
                <w:rFonts w:ascii="Times New Roman" w:eastAsia="Times New Roman" w:hAnsi="Times New Roman" w:cs="Times New Roman"/>
                <w:color w:val="000000"/>
                <w:sz w:val="20"/>
                <w:szCs w:val="20"/>
              </w:rPr>
              <w:t>113</w:t>
            </w:r>
          </w:p>
        </w:tc>
        <w:tc>
          <w:tcPr>
            <w:tcW w:w="1514" w:type="dxa"/>
            <w:tcBorders>
              <w:top w:val="nil"/>
              <w:left w:val="nil"/>
              <w:bottom w:val="single" w:sz="4" w:space="0" w:color="auto"/>
              <w:right w:val="single" w:sz="4" w:space="0" w:color="auto"/>
            </w:tcBorders>
            <w:shd w:val="clear" w:color="auto" w:fill="auto"/>
            <w:noWrap/>
            <w:vAlign w:val="bottom"/>
            <w:hideMark/>
          </w:tcPr>
          <w:p w14:paraId="67350D99" w14:textId="77777777" w:rsidR="005A11F9" w:rsidRPr="00B068BF" w:rsidRDefault="005A11F9" w:rsidP="005A11F9">
            <w:pPr>
              <w:spacing w:after="0" w:line="240" w:lineRule="auto"/>
              <w:jc w:val="center"/>
              <w:rPr>
                <w:rFonts w:ascii="Times New Roman" w:eastAsia="Times New Roman" w:hAnsi="Times New Roman" w:cs="Times New Roman"/>
                <w:color w:val="000000"/>
                <w:sz w:val="20"/>
                <w:szCs w:val="20"/>
                <w:lang w:val="ru-RU"/>
              </w:rPr>
            </w:pPr>
            <w:r w:rsidRPr="00B068BF">
              <w:rPr>
                <w:rFonts w:ascii="Times New Roman" w:eastAsia="Times New Roman" w:hAnsi="Times New Roman" w:cs="Times New Roman"/>
                <w:color w:val="000000"/>
                <w:sz w:val="20"/>
                <w:szCs w:val="20"/>
                <w:lang w:val="ru-RU"/>
              </w:rPr>
              <w:t>78,5%</w:t>
            </w:r>
          </w:p>
        </w:tc>
      </w:tr>
      <w:tr w:rsidR="005A11F9" w:rsidRPr="00B068BF" w14:paraId="7E282DD6" w14:textId="77777777" w:rsidTr="005A11F9">
        <w:trPr>
          <w:trHeight w:val="402"/>
        </w:trPr>
        <w:tc>
          <w:tcPr>
            <w:tcW w:w="1366" w:type="dxa"/>
            <w:tcBorders>
              <w:top w:val="nil"/>
              <w:left w:val="single" w:sz="4" w:space="0" w:color="auto"/>
              <w:bottom w:val="single" w:sz="4" w:space="0" w:color="auto"/>
              <w:right w:val="single" w:sz="4" w:space="0" w:color="auto"/>
            </w:tcBorders>
            <w:shd w:val="clear" w:color="auto" w:fill="auto"/>
            <w:noWrap/>
            <w:vAlign w:val="bottom"/>
            <w:hideMark/>
          </w:tcPr>
          <w:p w14:paraId="2D7BFA2F" w14:textId="77777777" w:rsidR="005A11F9" w:rsidRPr="00B068BF" w:rsidRDefault="005A11F9" w:rsidP="005A11F9">
            <w:pPr>
              <w:spacing w:after="0" w:line="240" w:lineRule="auto"/>
              <w:jc w:val="center"/>
              <w:rPr>
                <w:rFonts w:ascii="Times New Roman" w:eastAsia="Times New Roman" w:hAnsi="Times New Roman" w:cs="Times New Roman"/>
                <w:color w:val="000000"/>
                <w:sz w:val="20"/>
                <w:szCs w:val="20"/>
                <w:lang w:val="ru-RU"/>
              </w:rPr>
            </w:pPr>
            <w:r w:rsidRPr="00B068BF">
              <w:rPr>
                <w:rFonts w:ascii="Times New Roman" w:eastAsia="Times New Roman" w:hAnsi="Times New Roman" w:cs="Times New Roman"/>
                <w:color w:val="000000"/>
                <w:sz w:val="20"/>
                <w:szCs w:val="20"/>
              </w:rPr>
              <w:t>RUB</w:t>
            </w:r>
          </w:p>
        </w:tc>
        <w:tc>
          <w:tcPr>
            <w:tcW w:w="2160" w:type="dxa"/>
            <w:tcBorders>
              <w:top w:val="nil"/>
              <w:left w:val="nil"/>
              <w:bottom w:val="single" w:sz="4" w:space="0" w:color="auto"/>
              <w:right w:val="single" w:sz="4" w:space="0" w:color="auto"/>
            </w:tcBorders>
            <w:shd w:val="clear" w:color="auto" w:fill="auto"/>
            <w:noWrap/>
            <w:vAlign w:val="bottom"/>
            <w:hideMark/>
          </w:tcPr>
          <w:p w14:paraId="0839A024" w14:textId="77777777" w:rsidR="005A11F9" w:rsidRPr="00B068BF" w:rsidRDefault="005A11F9" w:rsidP="005A11F9">
            <w:pPr>
              <w:spacing w:after="0" w:line="240" w:lineRule="auto"/>
              <w:jc w:val="center"/>
              <w:rPr>
                <w:rFonts w:ascii="Times New Roman" w:eastAsia="Times New Roman" w:hAnsi="Times New Roman" w:cs="Times New Roman"/>
                <w:color w:val="000000"/>
                <w:sz w:val="20"/>
                <w:szCs w:val="20"/>
                <w:lang w:val="ru-RU"/>
              </w:rPr>
            </w:pPr>
            <w:r w:rsidRPr="00B068BF">
              <w:rPr>
                <w:rFonts w:ascii="Times New Roman" w:eastAsia="Times New Roman" w:hAnsi="Times New Roman" w:cs="Times New Roman"/>
                <w:color w:val="000000"/>
                <w:sz w:val="20"/>
                <w:szCs w:val="20"/>
                <w:lang w:val="ru-RU"/>
              </w:rPr>
              <w:t>5</w:t>
            </w:r>
          </w:p>
        </w:tc>
        <w:tc>
          <w:tcPr>
            <w:tcW w:w="1514" w:type="dxa"/>
            <w:tcBorders>
              <w:top w:val="nil"/>
              <w:left w:val="nil"/>
              <w:bottom w:val="single" w:sz="4" w:space="0" w:color="auto"/>
              <w:right w:val="single" w:sz="4" w:space="0" w:color="auto"/>
            </w:tcBorders>
            <w:shd w:val="clear" w:color="auto" w:fill="auto"/>
            <w:noWrap/>
            <w:vAlign w:val="bottom"/>
            <w:hideMark/>
          </w:tcPr>
          <w:p w14:paraId="25C127FF" w14:textId="77777777" w:rsidR="005A11F9" w:rsidRPr="00B068BF" w:rsidRDefault="005A11F9" w:rsidP="005A11F9">
            <w:pPr>
              <w:spacing w:after="0" w:line="240" w:lineRule="auto"/>
              <w:jc w:val="center"/>
              <w:rPr>
                <w:rFonts w:ascii="Times New Roman" w:eastAsia="Times New Roman" w:hAnsi="Times New Roman" w:cs="Times New Roman"/>
                <w:color w:val="000000"/>
                <w:sz w:val="20"/>
                <w:szCs w:val="20"/>
                <w:lang w:val="ru-RU"/>
              </w:rPr>
            </w:pPr>
            <w:r w:rsidRPr="00B068BF">
              <w:rPr>
                <w:rFonts w:ascii="Times New Roman" w:eastAsia="Times New Roman" w:hAnsi="Times New Roman" w:cs="Times New Roman"/>
                <w:color w:val="000000"/>
                <w:sz w:val="20"/>
                <w:szCs w:val="20"/>
                <w:lang w:val="ru-RU"/>
              </w:rPr>
              <w:t>3,5%</w:t>
            </w:r>
          </w:p>
        </w:tc>
      </w:tr>
      <w:tr w:rsidR="005A11F9" w:rsidRPr="00B068BF" w14:paraId="3501D64B" w14:textId="77777777" w:rsidTr="005A11F9">
        <w:trPr>
          <w:trHeight w:val="402"/>
        </w:trPr>
        <w:tc>
          <w:tcPr>
            <w:tcW w:w="1366" w:type="dxa"/>
            <w:tcBorders>
              <w:top w:val="nil"/>
              <w:left w:val="single" w:sz="4" w:space="0" w:color="auto"/>
              <w:bottom w:val="single" w:sz="4" w:space="0" w:color="auto"/>
              <w:right w:val="single" w:sz="4" w:space="0" w:color="auto"/>
            </w:tcBorders>
            <w:shd w:val="clear" w:color="auto" w:fill="auto"/>
            <w:noWrap/>
            <w:vAlign w:val="bottom"/>
            <w:hideMark/>
          </w:tcPr>
          <w:p w14:paraId="66736087" w14:textId="77777777" w:rsidR="005A11F9" w:rsidRPr="00B068BF" w:rsidRDefault="005A11F9" w:rsidP="005A11F9">
            <w:pPr>
              <w:spacing w:after="0" w:line="240" w:lineRule="auto"/>
              <w:jc w:val="center"/>
              <w:rPr>
                <w:rFonts w:ascii="Times New Roman" w:eastAsia="Times New Roman" w:hAnsi="Times New Roman" w:cs="Times New Roman"/>
                <w:color w:val="000000"/>
                <w:sz w:val="20"/>
                <w:szCs w:val="20"/>
                <w:lang w:val="ru-RU"/>
              </w:rPr>
            </w:pPr>
            <w:r w:rsidRPr="00B068BF">
              <w:rPr>
                <w:rFonts w:ascii="Times New Roman" w:eastAsia="Times New Roman" w:hAnsi="Times New Roman" w:cs="Times New Roman"/>
                <w:color w:val="000000"/>
                <w:sz w:val="20"/>
                <w:szCs w:val="20"/>
              </w:rPr>
              <w:t>USD</w:t>
            </w:r>
          </w:p>
        </w:tc>
        <w:tc>
          <w:tcPr>
            <w:tcW w:w="2160" w:type="dxa"/>
            <w:tcBorders>
              <w:top w:val="nil"/>
              <w:left w:val="nil"/>
              <w:bottom w:val="single" w:sz="4" w:space="0" w:color="auto"/>
              <w:right w:val="single" w:sz="4" w:space="0" w:color="auto"/>
            </w:tcBorders>
            <w:shd w:val="clear" w:color="auto" w:fill="auto"/>
            <w:noWrap/>
            <w:vAlign w:val="bottom"/>
            <w:hideMark/>
          </w:tcPr>
          <w:p w14:paraId="734B098F" w14:textId="77777777" w:rsidR="005A11F9" w:rsidRPr="00B068BF" w:rsidRDefault="005A11F9" w:rsidP="005A11F9">
            <w:pPr>
              <w:spacing w:after="0" w:line="240" w:lineRule="auto"/>
              <w:jc w:val="center"/>
              <w:rPr>
                <w:rFonts w:ascii="Times New Roman" w:eastAsia="Times New Roman" w:hAnsi="Times New Roman" w:cs="Times New Roman"/>
                <w:color w:val="000000"/>
                <w:sz w:val="20"/>
                <w:szCs w:val="20"/>
                <w:lang w:val="ru-RU"/>
              </w:rPr>
            </w:pPr>
            <w:r w:rsidRPr="00B068BF">
              <w:rPr>
                <w:rFonts w:ascii="Times New Roman" w:eastAsia="Times New Roman" w:hAnsi="Times New Roman" w:cs="Times New Roman"/>
                <w:color w:val="000000"/>
                <w:sz w:val="20"/>
                <w:szCs w:val="20"/>
                <w:lang w:val="ru-RU"/>
              </w:rPr>
              <w:t>24</w:t>
            </w:r>
          </w:p>
        </w:tc>
        <w:tc>
          <w:tcPr>
            <w:tcW w:w="1514" w:type="dxa"/>
            <w:tcBorders>
              <w:top w:val="nil"/>
              <w:left w:val="nil"/>
              <w:bottom w:val="single" w:sz="4" w:space="0" w:color="auto"/>
              <w:right w:val="single" w:sz="4" w:space="0" w:color="auto"/>
            </w:tcBorders>
            <w:shd w:val="clear" w:color="auto" w:fill="auto"/>
            <w:noWrap/>
            <w:vAlign w:val="bottom"/>
            <w:hideMark/>
          </w:tcPr>
          <w:p w14:paraId="20BAB015" w14:textId="77777777" w:rsidR="005A11F9" w:rsidRPr="00B068BF" w:rsidRDefault="005A11F9" w:rsidP="005A11F9">
            <w:pPr>
              <w:spacing w:after="0" w:line="240" w:lineRule="auto"/>
              <w:jc w:val="center"/>
              <w:rPr>
                <w:rFonts w:ascii="Times New Roman" w:eastAsia="Times New Roman" w:hAnsi="Times New Roman" w:cs="Times New Roman"/>
                <w:color w:val="000000"/>
                <w:sz w:val="20"/>
                <w:szCs w:val="20"/>
                <w:lang w:val="ru-RU"/>
              </w:rPr>
            </w:pPr>
            <w:r w:rsidRPr="00B068BF">
              <w:rPr>
                <w:rFonts w:ascii="Times New Roman" w:eastAsia="Times New Roman" w:hAnsi="Times New Roman" w:cs="Times New Roman"/>
                <w:color w:val="000000"/>
                <w:sz w:val="20"/>
                <w:szCs w:val="20"/>
                <w:lang w:val="ru-RU"/>
              </w:rPr>
              <w:t>16,6%</w:t>
            </w:r>
          </w:p>
        </w:tc>
      </w:tr>
      <w:tr w:rsidR="005A11F9" w:rsidRPr="00B068BF" w14:paraId="66276BAF" w14:textId="77777777" w:rsidTr="005A11F9">
        <w:trPr>
          <w:trHeight w:val="402"/>
        </w:trPr>
        <w:tc>
          <w:tcPr>
            <w:tcW w:w="1366" w:type="dxa"/>
            <w:tcBorders>
              <w:top w:val="nil"/>
              <w:left w:val="single" w:sz="4" w:space="0" w:color="auto"/>
              <w:bottom w:val="single" w:sz="4" w:space="0" w:color="auto"/>
              <w:right w:val="single" w:sz="4" w:space="0" w:color="auto"/>
            </w:tcBorders>
            <w:shd w:val="clear" w:color="auto" w:fill="auto"/>
            <w:noWrap/>
            <w:vAlign w:val="bottom"/>
            <w:hideMark/>
          </w:tcPr>
          <w:p w14:paraId="2286CBB9" w14:textId="77777777" w:rsidR="005A11F9" w:rsidRPr="00B068BF" w:rsidRDefault="005A11F9" w:rsidP="005A11F9">
            <w:pPr>
              <w:spacing w:after="0" w:line="240" w:lineRule="auto"/>
              <w:jc w:val="center"/>
              <w:rPr>
                <w:rFonts w:ascii="Times New Roman" w:eastAsia="Times New Roman" w:hAnsi="Times New Roman" w:cs="Times New Roman"/>
                <w:color w:val="000000"/>
                <w:sz w:val="20"/>
                <w:szCs w:val="20"/>
                <w:lang w:val="ru-RU"/>
              </w:rPr>
            </w:pPr>
            <w:r w:rsidRPr="00B068BF">
              <w:rPr>
                <w:rFonts w:ascii="Times New Roman" w:eastAsia="Times New Roman" w:hAnsi="Times New Roman" w:cs="Times New Roman"/>
                <w:color w:val="000000"/>
                <w:sz w:val="20"/>
                <w:szCs w:val="20"/>
              </w:rPr>
              <w:t>EURO</w:t>
            </w:r>
          </w:p>
        </w:tc>
        <w:tc>
          <w:tcPr>
            <w:tcW w:w="2160" w:type="dxa"/>
            <w:tcBorders>
              <w:top w:val="nil"/>
              <w:left w:val="nil"/>
              <w:bottom w:val="single" w:sz="4" w:space="0" w:color="auto"/>
              <w:right w:val="single" w:sz="4" w:space="0" w:color="auto"/>
            </w:tcBorders>
            <w:shd w:val="clear" w:color="auto" w:fill="auto"/>
            <w:noWrap/>
            <w:vAlign w:val="bottom"/>
            <w:hideMark/>
          </w:tcPr>
          <w:p w14:paraId="28422ED5" w14:textId="77777777" w:rsidR="005A11F9" w:rsidRPr="00B068BF" w:rsidRDefault="005A11F9" w:rsidP="005A11F9">
            <w:pPr>
              <w:spacing w:after="0" w:line="240" w:lineRule="auto"/>
              <w:jc w:val="center"/>
              <w:rPr>
                <w:rFonts w:ascii="Times New Roman" w:eastAsia="Times New Roman" w:hAnsi="Times New Roman" w:cs="Times New Roman"/>
                <w:color w:val="000000"/>
                <w:sz w:val="20"/>
                <w:szCs w:val="20"/>
                <w:lang w:val="ru-RU"/>
              </w:rPr>
            </w:pPr>
            <w:r w:rsidRPr="00B068BF">
              <w:rPr>
                <w:rFonts w:ascii="Times New Roman" w:eastAsia="Times New Roman" w:hAnsi="Times New Roman" w:cs="Times New Roman"/>
                <w:color w:val="000000"/>
                <w:sz w:val="20"/>
                <w:szCs w:val="20"/>
                <w:lang w:val="ru-RU"/>
              </w:rPr>
              <w:t>2</w:t>
            </w:r>
          </w:p>
        </w:tc>
        <w:tc>
          <w:tcPr>
            <w:tcW w:w="1514" w:type="dxa"/>
            <w:tcBorders>
              <w:top w:val="nil"/>
              <w:left w:val="nil"/>
              <w:bottom w:val="single" w:sz="4" w:space="0" w:color="auto"/>
              <w:right w:val="single" w:sz="4" w:space="0" w:color="auto"/>
            </w:tcBorders>
            <w:shd w:val="clear" w:color="auto" w:fill="auto"/>
            <w:noWrap/>
            <w:vAlign w:val="bottom"/>
            <w:hideMark/>
          </w:tcPr>
          <w:p w14:paraId="0E0B64D1" w14:textId="77777777" w:rsidR="005A11F9" w:rsidRPr="00B068BF" w:rsidRDefault="005A11F9" w:rsidP="005A11F9">
            <w:pPr>
              <w:spacing w:after="0" w:line="240" w:lineRule="auto"/>
              <w:jc w:val="center"/>
              <w:rPr>
                <w:rFonts w:ascii="Times New Roman" w:eastAsia="Times New Roman" w:hAnsi="Times New Roman" w:cs="Times New Roman"/>
                <w:color w:val="000000"/>
                <w:sz w:val="20"/>
                <w:szCs w:val="20"/>
                <w:lang w:val="ru-RU"/>
              </w:rPr>
            </w:pPr>
            <w:r w:rsidRPr="00B068BF">
              <w:rPr>
                <w:rFonts w:ascii="Times New Roman" w:eastAsia="Times New Roman" w:hAnsi="Times New Roman" w:cs="Times New Roman"/>
                <w:color w:val="000000"/>
                <w:sz w:val="20"/>
                <w:szCs w:val="20"/>
                <w:lang w:val="ru-RU"/>
              </w:rPr>
              <w:t>1,4%</w:t>
            </w:r>
          </w:p>
        </w:tc>
      </w:tr>
      <w:tr w:rsidR="005A11F9" w:rsidRPr="00B068BF" w14:paraId="351A02D3" w14:textId="77777777" w:rsidTr="005A11F9">
        <w:trPr>
          <w:trHeight w:val="441"/>
        </w:trPr>
        <w:tc>
          <w:tcPr>
            <w:tcW w:w="1366" w:type="dxa"/>
            <w:tcBorders>
              <w:top w:val="nil"/>
              <w:left w:val="single" w:sz="4" w:space="0" w:color="auto"/>
              <w:bottom w:val="single" w:sz="4" w:space="0" w:color="auto"/>
              <w:right w:val="single" w:sz="4" w:space="0" w:color="auto"/>
            </w:tcBorders>
            <w:shd w:val="clear" w:color="auto" w:fill="auto"/>
            <w:noWrap/>
            <w:vAlign w:val="bottom"/>
            <w:hideMark/>
          </w:tcPr>
          <w:p w14:paraId="115AF68A" w14:textId="77777777" w:rsidR="005A11F9" w:rsidRPr="00B068BF" w:rsidRDefault="005A11F9" w:rsidP="005A11F9">
            <w:pPr>
              <w:spacing w:after="0" w:line="240" w:lineRule="auto"/>
              <w:jc w:val="center"/>
              <w:rPr>
                <w:rFonts w:ascii="Times New Roman" w:eastAsia="Times New Roman" w:hAnsi="Times New Roman" w:cs="Times New Roman"/>
                <w:b/>
                <w:bCs/>
                <w:color w:val="000000"/>
                <w:sz w:val="20"/>
                <w:szCs w:val="20"/>
                <w:lang w:val="ru-RU"/>
              </w:rPr>
            </w:pPr>
            <w:r w:rsidRPr="00B068BF">
              <w:rPr>
                <w:rFonts w:ascii="Times New Roman" w:eastAsia="Times New Roman" w:hAnsi="Times New Roman" w:cs="Times New Roman"/>
                <w:b/>
                <w:bCs/>
                <w:color w:val="000000"/>
                <w:sz w:val="20"/>
                <w:szCs w:val="20"/>
                <w:lang w:val="ru-RU"/>
              </w:rPr>
              <w:t>Всего:</w:t>
            </w:r>
          </w:p>
        </w:tc>
        <w:tc>
          <w:tcPr>
            <w:tcW w:w="2160" w:type="dxa"/>
            <w:tcBorders>
              <w:top w:val="nil"/>
              <w:left w:val="nil"/>
              <w:bottom w:val="single" w:sz="4" w:space="0" w:color="auto"/>
              <w:right w:val="single" w:sz="4" w:space="0" w:color="auto"/>
            </w:tcBorders>
            <w:shd w:val="clear" w:color="auto" w:fill="auto"/>
            <w:noWrap/>
            <w:vAlign w:val="bottom"/>
            <w:hideMark/>
          </w:tcPr>
          <w:p w14:paraId="69B0B711" w14:textId="77777777" w:rsidR="005A11F9" w:rsidRPr="00B068BF" w:rsidRDefault="005A11F9" w:rsidP="005A11F9">
            <w:pPr>
              <w:spacing w:after="0" w:line="240" w:lineRule="auto"/>
              <w:jc w:val="center"/>
              <w:rPr>
                <w:rFonts w:ascii="Times New Roman" w:eastAsia="Times New Roman" w:hAnsi="Times New Roman" w:cs="Times New Roman"/>
                <w:b/>
                <w:bCs/>
                <w:color w:val="000000"/>
                <w:sz w:val="20"/>
                <w:szCs w:val="20"/>
                <w:lang w:val="ru-RU"/>
              </w:rPr>
            </w:pPr>
            <w:r w:rsidRPr="00B068BF">
              <w:rPr>
                <w:rFonts w:ascii="Times New Roman" w:eastAsia="Times New Roman" w:hAnsi="Times New Roman" w:cs="Times New Roman"/>
                <w:b/>
                <w:bCs/>
                <w:color w:val="000000"/>
                <w:sz w:val="20"/>
                <w:szCs w:val="20"/>
                <w:lang w:val="ru-RU"/>
              </w:rPr>
              <w:t>144</w:t>
            </w:r>
          </w:p>
        </w:tc>
        <w:tc>
          <w:tcPr>
            <w:tcW w:w="1514" w:type="dxa"/>
            <w:tcBorders>
              <w:top w:val="nil"/>
              <w:left w:val="nil"/>
              <w:bottom w:val="single" w:sz="4" w:space="0" w:color="auto"/>
              <w:right w:val="single" w:sz="4" w:space="0" w:color="auto"/>
            </w:tcBorders>
            <w:shd w:val="clear" w:color="auto" w:fill="auto"/>
            <w:noWrap/>
            <w:vAlign w:val="bottom"/>
            <w:hideMark/>
          </w:tcPr>
          <w:p w14:paraId="3B6BE416" w14:textId="77777777" w:rsidR="005A11F9" w:rsidRPr="00B068BF" w:rsidRDefault="005A11F9" w:rsidP="005A11F9">
            <w:pPr>
              <w:spacing w:after="0" w:line="240" w:lineRule="auto"/>
              <w:jc w:val="center"/>
              <w:rPr>
                <w:rFonts w:ascii="Times New Roman" w:eastAsia="Times New Roman" w:hAnsi="Times New Roman" w:cs="Times New Roman"/>
                <w:b/>
                <w:bCs/>
                <w:color w:val="000000"/>
                <w:sz w:val="20"/>
                <w:szCs w:val="20"/>
                <w:lang w:val="ru-RU"/>
              </w:rPr>
            </w:pPr>
            <w:r w:rsidRPr="00B068BF">
              <w:rPr>
                <w:rFonts w:ascii="Times New Roman" w:eastAsia="Times New Roman" w:hAnsi="Times New Roman" w:cs="Times New Roman"/>
                <w:b/>
                <w:bCs/>
                <w:color w:val="000000"/>
                <w:sz w:val="20"/>
                <w:szCs w:val="20"/>
                <w:lang w:val="ru-RU"/>
              </w:rPr>
              <w:t>100%</w:t>
            </w:r>
          </w:p>
        </w:tc>
      </w:tr>
    </w:tbl>
    <w:p w14:paraId="41EB2288" w14:textId="77777777" w:rsidR="005A11F9" w:rsidRPr="00B068BF" w:rsidRDefault="005A11F9" w:rsidP="005A11F9">
      <w:pPr>
        <w:spacing w:after="0" w:line="240" w:lineRule="auto"/>
        <w:jc w:val="center"/>
        <w:rPr>
          <w:rFonts w:ascii="Times New Roman" w:hAnsi="Times New Roman" w:cs="Times New Roman"/>
          <w:lang w:val="ru-RU"/>
        </w:rPr>
      </w:pPr>
    </w:p>
    <w:p w14:paraId="749898FD" w14:textId="77777777" w:rsidR="005A11F9" w:rsidRPr="00B068BF" w:rsidRDefault="005A11F9" w:rsidP="005A11F9">
      <w:pPr>
        <w:spacing w:after="0" w:line="240" w:lineRule="auto"/>
        <w:jc w:val="center"/>
        <w:rPr>
          <w:rFonts w:ascii="Times New Roman" w:hAnsi="Times New Roman" w:cs="Times New Roman"/>
          <w:lang w:val="ru-RU"/>
        </w:rPr>
      </w:pPr>
    </w:p>
    <w:p w14:paraId="1D321D18" w14:textId="77777777" w:rsidR="005A11F9" w:rsidRPr="00B068BF" w:rsidRDefault="005A11F9" w:rsidP="005A11F9">
      <w:pPr>
        <w:spacing w:after="0" w:line="240" w:lineRule="auto"/>
        <w:jc w:val="center"/>
        <w:rPr>
          <w:rFonts w:ascii="Times New Roman" w:hAnsi="Times New Roman" w:cs="Times New Roman"/>
          <w:lang w:val="ru-RU"/>
        </w:rPr>
      </w:pPr>
    </w:p>
    <w:p w14:paraId="2692ECE0" w14:textId="77777777" w:rsidR="005A11F9" w:rsidRPr="00B068BF" w:rsidRDefault="005A11F9" w:rsidP="005A11F9">
      <w:pPr>
        <w:spacing w:after="0" w:line="240" w:lineRule="auto"/>
        <w:jc w:val="center"/>
        <w:rPr>
          <w:rFonts w:ascii="Times New Roman" w:hAnsi="Times New Roman" w:cs="Times New Roman"/>
          <w:lang w:val="ru-RU"/>
        </w:rPr>
      </w:pPr>
    </w:p>
    <w:p w14:paraId="6D9607F7" w14:textId="77777777" w:rsidR="005A11F9" w:rsidRPr="00B068BF" w:rsidRDefault="005A11F9" w:rsidP="005A11F9">
      <w:pPr>
        <w:spacing w:after="0" w:line="240" w:lineRule="auto"/>
        <w:jc w:val="center"/>
        <w:rPr>
          <w:rFonts w:ascii="Times New Roman" w:hAnsi="Times New Roman" w:cs="Times New Roman"/>
          <w:lang w:val="ru-RU"/>
        </w:rPr>
      </w:pPr>
    </w:p>
    <w:p w14:paraId="2FBC9095" w14:textId="77777777" w:rsidR="005A11F9" w:rsidRPr="00B068BF" w:rsidRDefault="005A11F9" w:rsidP="005A11F9">
      <w:pPr>
        <w:spacing w:after="0" w:line="240" w:lineRule="auto"/>
        <w:jc w:val="center"/>
        <w:rPr>
          <w:rFonts w:ascii="Times New Roman" w:hAnsi="Times New Roman" w:cs="Times New Roman"/>
          <w:lang w:val="ru-RU"/>
        </w:rPr>
      </w:pPr>
    </w:p>
    <w:p w14:paraId="700375B9" w14:textId="77777777" w:rsidR="005A11F9" w:rsidRPr="00B068BF" w:rsidRDefault="005A11F9" w:rsidP="005A11F9">
      <w:pPr>
        <w:spacing w:after="0" w:line="240" w:lineRule="auto"/>
        <w:jc w:val="center"/>
        <w:rPr>
          <w:rFonts w:ascii="Times New Roman" w:hAnsi="Times New Roman" w:cs="Times New Roman"/>
          <w:lang w:val="ru-RU"/>
        </w:rPr>
      </w:pPr>
    </w:p>
    <w:p w14:paraId="4FC832FE" w14:textId="77777777" w:rsidR="005A11F9" w:rsidRPr="00B068BF" w:rsidRDefault="005A11F9" w:rsidP="005A11F9">
      <w:pPr>
        <w:spacing w:after="0" w:line="240" w:lineRule="auto"/>
        <w:jc w:val="center"/>
        <w:rPr>
          <w:rFonts w:ascii="Times New Roman" w:hAnsi="Times New Roman" w:cs="Times New Roman"/>
          <w:lang w:val="ru-RU"/>
        </w:rPr>
      </w:pPr>
    </w:p>
    <w:p w14:paraId="4E590C9E" w14:textId="77777777" w:rsidR="005A11F9" w:rsidRPr="00B068BF" w:rsidRDefault="005A11F9" w:rsidP="005A11F9">
      <w:pPr>
        <w:spacing w:after="0" w:line="240" w:lineRule="auto"/>
        <w:jc w:val="center"/>
        <w:rPr>
          <w:rFonts w:ascii="Times New Roman" w:hAnsi="Times New Roman" w:cs="Times New Roman"/>
          <w:lang w:val="ru-RU"/>
        </w:rPr>
      </w:pPr>
    </w:p>
    <w:p w14:paraId="23B60E68" w14:textId="77777777" w:rsidR="00AE2FCB" w:rsidRDefault="00AE2FCB" w:rsidP="005A11F9">
      <w:pPr>
        <w:spacing w:after="0" w:line="240" w:lineRule="auto"/>
        <w:ind w:firstLine="270"/>
        <w:jc w:val="both"/>
        <w:rPr>
          <w:rFonts w:ascii="Times New Roman" w:hAnsi="Times New Roman" w:cs="Times New Roman"/>
          <w:sz w:val="24"/>
          <w:szCs w:val="24"/>
          <w:lang w:val="ru-RU"/>
        </w:rPr>
      </w:pPr>
    </w:p>
    <w:p w14:paraId="4945FB24" w14:textId="6D279CC4" w:rsidR="005A11F9" w:rsidRPr="00B068BF" w:rsidRDefault="005A11F9" w:rsidP="005A11F9">
      <w:pPr>
        <w:spacing w:after="0" w:line="240" w:lineRule="auto"/>
        <w:ind w:firstLine="27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Поддельные денежные знаки, изъятие из платежного оборота переданы в органы внутренних дел Таджикистана.</w:t>
      </w:r>
    </w:p>
    <w:p w14:paraId="1CC06394" w14:textId="77777777" w:rsidR="005A11F9" w:rsidRPr="00B068BF" w:rsidRDefault="005A11F9" w:rsidP="005A11F9">
      <w:pPr>
        <w:spacing w:after="0" w:line="240" w:lineRule="auto"/>
        <w:ind w:firstLine="27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 xml:space="preserve">В основном, выявленные поддельные банкноты национальной валюты были изготовлены с применением капельно-струйной печати и представляют небольшой уровень риска из-за низкого качество подделок.  </w:t>
      </w:r>
    </w:p>
    <w:p w14:paraId="1BB8F3E4" w14:textId="77777777" w:rsidR="005A11F9" w:rsidRPr="00B068BF" w:rsidRDefault="005A11F9" w:rsidP="00AE2FCB">
      <w:pPr>
        <w:spacing w:after="0" w:line="240" w:lineRule="auto"/>
        <w:ind w:firstLine="270"/>
        <w:jc w:val="center"/>
        <w:rPr>
          <w:rFonts w:ascii="Times New Roman" w:hAnsi="Times New Roman" w:cs="Times New Roman"/>
          <w:lang w:val="ru-RU"/>
        </w:rPr>
      </w:pPr>
      <w:r w:rsidRPr="00B068BF">
        <w:rPr>
          <w:rFonts w:ascii="Times New Roman" w:hAnsi="Times New Roman" w:cs="Times New Roman"/>
          <w:noProof/>
          <w:lang w:val="ru-RU" w:eastAsia="ru-RU"/>
        </w:rPr>
        <w:drawing>
          <wp:inline distT="0" distB="0" distL="0" distR="0" wp14:anchorId="4FE67033" wp14:editId="566B3F60">
            <wp:extent cx="2703444" cy="2522165"/>
            <wp:effectExtent l="0" t="0" r="1905" b="0"/>
            <wp:docPr id="29"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r w:rsidRPr="00B068BF">
        <w:rPr>
          <w:rFonts w:ascii="Times New Roman" w:hAnsi="Times New Roman" w:cs="Times New Roman"/>
          <w:noProof/>
          <w:lang w:val="ru-RU" w:eastAsia="ru-RU"/>
        </w:rPr>
        <w:drawing>
          <wp:inline distT="0" distB="0" distL="0" distR="0" wp14:anchorId="6B6B2076" wp14:editId="07C93FDD">
            <wp:extent cx="2647315" cy="2548338"/>
            <wp:effectExtent l="0" t="0" r="635" b="4445"/>
            <wp:docPr id="30"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2DD37FA2" w14:textId="77777777" w:rsidR="00A7203D" w:rsidRPr="00B068BF" w:rsidRDefault="00D6401B" w:rsidP="00D6401B">
      <w:pPr>
        <w:tabs>
          <w:tab w:val="left" w:pos="851"/>
        </w:tabs>
        <w:spacing w:after="0" w:line="240" w:lineRule="auto"/>
        <w:jc w:val="both"/>
        <w:rPr>
          <w:rFonts w:ascii="Times New Roman" w:hAnsi="Times New Roman" w:cs="Times New Roman"/>
          <w:b/>
          <w:sz w:val="24"/>
          <w:szCs w:val="24"/>
          <w:u w:val="single"/>
          <w:lang w:val="ru-RU"/>
        </w:rPr>
      </w:pPr>
      <w:r w:rsidRPr="00B068BF">
        <w:rPr>
          <w:rFonts w:ascii="Times New Roman" w:hAnsi="Times New Roman" w:cs="Times New Roman"/>
          <w:b/>
          <w:sz w:val="24"/>
          <w:szCs w:val="24"/>
          <w:u w:val="single"/>
          <w:lang w:val="ru-RU"/>
        </w:rPr>
        <w:lastRenderedPageBreak/>
        <w:t xml:space="preserve">4. </w:t>
      </w:r>
      <w:r w:rsidR="00A7203D" w:rsidRPr="00B068BF">
        <w:rPr>
          <w:rFonts w:ascii="Times New Roman" w:hAnsi="Times New Roman" w:cs="Times New Roman"/>
          <w:b/>
          <w:sz w:val="24"/>
          <w:szCs w:val="24"/>
          <w:u w:val="single"/>
          <w:lang w:val="ru-RU"/>
        </w:rPr>
        <w:t>Информация о тенденциях развития нумизматического рынка в государствах – участниках Евразийского совета центральных банков</w:t>
      </w:r>
    </w:p>
    <w:p w14:paraId="25D43A7A" w14:textId="77777777" w:rsidR="00CD63F2" w:rsidRPr="00B068BF" w:rsidRDefault="00CD63F2" w:rsidP="00D6459F">
      <w:pPr>
        <w:tabs>
          <w:tab w:val="left" w:pos="851"/>
        </w:tabs>
        <w:spacing w:after="0" w:line="240" w:lineRule="auto"/>
        <w:jc w:val="both"/>
        <w:rPr>
          <w:rFonts w:ascii="Times New Roman" w:hAnsi="Times New Roman" w:cs="Times New Roman"/>
          <w:b/>
          <w:sz w:val="24"/>
          <w:szCs w:val="24"/>
          <w:u w:val="single"/>
          <w:lang w:val="ru-RU"/>
        </w:rPr>
      </w:pPr>
    </w:p>
    <w:p w14:paraId="59D41EE1" w14:textId="77777777" w:rsidR="00A7203D" w:rsidRPr="00B068BF" w:rsidRDefault="00CD63F2" w:rsidP="00D6459F">
      <w:pPr>
        <w:pStyle w:val="a3"/>
        <w:numPr>
          <w:ilvl w:val="0"/>
          <w:numId w:val="6"/>
        </w:numPr>
        <w:tabs>
          <w:tab w:val="left" w:pos="851"/>
        </w:tabs>
        <w:spacing w:after="0" w:line="240" w:lineRule="auto"/>
        <w:jc w:val="both"/>
        <w:rPr>
          <w:rFonts w:ascii="Times New Roman" w:hAnsi="Times New Roman" w:cs="Times New Roman"/>
          <w:sz w:val="24"/>
          <w:szCs w:val="24"/>
          <w:u w:val="single"/>
          <w:lang w:val="ru-RU"/>
        </w:rPr>
      </w:pPr>
      <w:r w:rsidRPr="00B068BF">
        <w:rPr>
          <w:rFonts w:ascii="Times New Roman" w:hAnsi="Times New Roman" w:cs="Times New Roman"/>
          <w:b/>
          <w:sz w:val="24"/>
          <w:szCs w:val="24"/>
          <w:lang w:val="ru-RU"/>
        </w:rPr>
        <w:t xml:space="preserve">Центральный банк </w:t>
      </w:r>
      <w:r w:rsidR="00D6459F" w:rsidRPr="00B068BF">
        <w:rPr>
          <w:rFonts w:ascii="Times New Roman" w:hAnsi="Times New Roman" w:cs="Times New Roman"/>
          <w:b/>
          <w:sz w:val="24"/>
          <w:szCs w:val="24"/>
          <w:lang w:val="ru-RU"/>
        </w:rPr>
        <w:t xml:space="preserve">Республики </w:t>
      </w:r>
      <w:r w:rsidRPr="00B068BF">
        <w:rPr>
          <w:rFonts w:ascii="Times New Roman" w:hAnsi="Times New Roman" w:cs="Times New Roman"/>
          <w:b/>
          <w:sz w:val="24"/>
          <w:szCs w:val="24"/>
          <w:lang w:val="ru-RU"/>
        </w:rPr>
        <w:t>Армени</w:t>
      </w:r>
      <w:r w:rsidR="00D6459F" w:rsidRPr="00B068BF">
        <w:rPr>
          <w:rFonts w:ascii="Times New Roman" w:hAnsi="Times New Roman" w:cs="Times New Roman"/>
          <w:b/>
          <w:sz w:val="24"/>
          <w:szCs w:val="24"/>
          <w:lang w:val="ru-RU"/>
        </w:rPr>
        <w:t>я</w:t>
      </w:r>
    </w:p>
    <w:p w14:paraId="39B17F4C" w14:textId="77777777" w:rsidR="00330344" w:rsidRPr="00B068BF" w:rsidRDefault="00330344" w:rsidP="00330344">
      <w:pPr>
        <w:tabs>
          <w:tab w:val="left" w:pos="360"/>
          <w:tab w:val="left" w:pos="851"/>
        </w:tabs>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ab/>
        <w:t>В области нумизматики и выпуска нумизматической продукции Центральный банк Армении проводит политику, направленную на популяризацию исторических и культурных событий, имеющих неоспоримую значимость для развития гражданского общества, на укрепление связей с нумизматическим сообществом Армении и стимулирование его интеграции с международными нумизматическими ассоциациями. В целях реализации политики применяются различные способы повышения интереса молодежи к нумизматике и коллекционированию денежных знаков.</w:t>
      </w:r>
      <w:r w:rsidRPr="00B068BF">
        <w:rPr>
          <w:rFonts w:ascii="Times New Roman" w:hAnsi="Times New Roman" w:cs="Times New Roman"/>
          <w:sz w:val="24"/>
          <w:szCs w:val="24"/>
          <w:lang w:val="ru-RU"/>
        </w:rPr>
        <w:tab/>
        <w:t xml:space="preserve">В частности, в ноябре 2022 года в Ереване была организована выставка, посвященная 100-летию общества «Филанум» (филателия и нумизматика), на которой экспонировались монеты, циркулирующие на территории исторической Армении, а также чеки и банкноты периода Первой Республики Армения. Выставка вызвала большой интерес, особенно среди школьников, которые с увлечением знакомились с редкими экземплярами старинных монет и многолетними традициями в области нумизматики, сопоставляли увиденное со своими знаниями истории Армении, приобщались к искусству коллекционирования.     </w:t>
      </w:r>
    </w:p>
    <w:p w14:paraId="696D4D1D" w14:textId="77777777" w:rsidR="00330344" w:rsidRPr="00B068BF" w:rsidRDefault="00330344" w:rsidP="00330344">
      <w:pPr>
        <w:tabs>
          <w:tab w:val="left" w:pos="450"/>
          <w:tab w:val="left" w:pos="851"/>
        </w:tabs>
        <w:spacing w:after="0" w:line="240" w:lineRule="auto"/>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ab/>
        <w:t>В 2022 году Центральный банк Армении инициировал проект по ознакомлению учащихся дизайнерских факультетов вузов Армении с особенностями построения дизайна памятных монет. Студентам была предоставлена возможность участия в конкурсе дизайна монет различной тематики с последующим обсуждением представленных ими работ. Регулярное проведение подобных мероприятий несомненно помогает вызвать у молодых специалистов интерес к нумизматике, и как следствие, активизирует деятельность нумизматического сообщества.</w:t>
      </w:r>
    </w:p>
    <w:p w14:paraId="21344ED1" w14:textId="77777777" w:rsidR="00330344" w:rsidRPr="00B068BF" w:rsidRDefault="00330344" w:rsidP="00330344">
      <w:pPr>
        <w:spacing w:after="0" w:line="240" w:lineRule="auto"/>
        <w:ind w:firstLine="450"/>
        <w:jc w:val="both"/>
        <w:rPr>
          <w:rFonts w:ascii="Times New Roman" w:hAnsi="Times New Roman" w:cs="Times New Roman"/>
          <w:sz w:val="24"/>
          <w:szCs w:val="24"/>
          <w:shd w:val="clear" w:color="auto" w:fill="FFFFFF"/>
          <w:lang w:val="hy-AM"/>
        </w:rPr>
      </w:pPr>
      <w:r w:rsidRPr="00B068BF">
        <w:rPr>
          <w:rFonts w:ascii="Times New Roman" w:hAnsi="Times New Roman" w:cs="Times New Roman"/>
          <w:sz w:val="24"/>
          <w:szCs w:val="24"/>
          <w:lang w:val="ru-RU"/>
        </w:rPr>
        <w:t xml:space="preserve">Работы по пополнению музейной коллекции Центрального банка Армении также направлены на привлечение определенных слоев общества к вопросам, касающимся нумизматики. В ходе выполнения этих работ гражданам предоставляется возможность передачи хранившихся у них старинных денежных знаков на рассмотрение специалистов Центрального банка Армении и получения справки о нумизматической ценности их собственности.    </w:t>
      </w:r>
    </w:p>
    <w:p w14:paraId="6EC07660" w14:textId="77777777" w:rsidR="00330344" w:rsidRPr="00B068BF" w:rsidRDefault="00330344" w:rsidP="00330344">
      <w:pPr>
        <w:autoSpaceDE w:val="0"/>
        <w:autoSpaceDN w:val="0"/>
        <w:adjustRightInd w:val="0"/>
        <w:spacing w:after="0" w:line="240" w:lineRule="auto"/>
        <w:ind w:right="-11" w:firstLine="45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 xml:space="preserve">Программы выпуска памятных монет и другой нумизматической продукции разрабатываются Центральным банком Армении с учетом реальных запросов населения и участников нумизматического рынка. Особым спросом среди армянских коллекционеров продолжают пользоваться серебряные монеты, выпускаемые в рамках тематики «Искусство», «Религиозные памятники», «История Армении», «Армянские полководцы». Подарочный сегмент также занимает значительное место в общем объеме продаж – здесь спросом пользуются золотые монеты весом от 1 до 5 г, а также наборы серебряных монет на нейтральную тематику (такие, например, как «Керамика мира», «Лабиринты мира» или «Древнейшие деревья мира») и подарочные наборы циркуляционных памятных монет из недрагоценных металлов. </w:t>
      </w:r>
    </w:p>
    <w:p w14:paraId="688A2188" w14:textId="77777777" w:rsidR="00330344" w:rsidRPr="00B068BF" w:rsidRDefault="00330344" w:rsidP="00330344">
      <w:pPr>
        <w:autoSpaceDE w:val="0"/>
        <w:autoSpaceDN w:val="0"/>
        <w:adjustRightInd w:val="0"/>
        <w:spacing w:after="0" w:line="240" w:lineRule="auto"/>
        <w:ind w:right="-11" w:firstLine="36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В целом, нумизматический рынок в Армении продолжает стабильно развиваться, что ставит перед Центральным банком Армении задачу отслеживания основных направлений его развития, удовлетворения запросов участников рынка и нахождения новых способов реализации армянской нумизматической продукции.</w:t>
      </w:r>
    </w:p>
    <w:p w14:paraId="16354489" w14:textId="77777777" w:rsidR="00330344" w:rsidRPr="00B068BF" w:rsidRDefault="00330344" w:rsidP="00D6459F">
      <w:pPr>
        <w:tabs>
          <w:tab w:val="left" w:pos="851"/>
        </w:tabs>
        <w:spacing w:after="0" w:line="240" w:lineRule="auto"/>
        <w:jc w:val="both"/>
        <w:rPr>
          <w:rFonts w:ascii="Times New Roman" w:hAnsi="Times New Roman" w:cs="Times New Roman"/>
          <w:b/>
          <w:sz w:val="24"/>
          <w:szCs w:val="24"/>
          <w:lang w:val="ru-RU"/>
        </w:rPr>
      </w:pPr>
    </w:p>
    <w:p w14:paraId="1493055A" w14:textId="77777777" w:rsidR="00CD63F2" w:rsidRPr="00B068BF" w:rsidRDefault="00CD63F2" w:rsidP="00D6459F">
      <w:pPr>
        <w:pStyle w:val="a3"/>
        <w:numPr>
          <w:ilvl w:val="0"/>
          <w:numId w:val="6"/>
        </w:numPr>
        <w:tabs>
          <w:tab w:val="left" w:pos="851"/>
        </w:tabs>
        <w:spacing w:after="0" w:line="240" w:lineRule="auto"/>
        <w:jc w:val="both"/>
        <w:rPr>
          <w:rFonts w:ascii="Times New Roman" w:hAnsi="Times New Roman" w:cs="Times New Roman"/>
          <w:b/>
          <w:sz w:val="24"/>
          <w:szCs w:val="24"/>
          <w:lang w:val="ru-RU"/>
        </w:rPr>
      </w:pPr>
      <w:r w:rsidRPr="00B068BF">
        <w:rPr>
          <w:rFonts w:ascii="Times New Roman" w:hAnsi="Times New Roman" w:cs="Times New Roman"/>
          <w:b/>
          <w:sz w:val="24"/>
          <w:szCs w:val="24"/>
          <w:lang w:val="ru-RU"/>
        </w:rPr>
        <w:t xml:space="preserve">Национальный банк </w:t>
      </w:r>
      <w:r w:rsidR="00D6459F" w:rsidRPr="00B068BF">
        <w:rPr>
          <w:rFonts w:ascii="Times New Roman" w:hAnsi="Times New Roman" w:cs="Times New Roman"/>
          <w:b/>
          <w:sz w:val="24"/>
          <w:szCs w:val="24"/>
          <w:lang w:val="ru-RU"/>
        </w:rPr>
        <w:t xml:space="preserve">Республики </w:t>
      </w:r>
      <w:r w:rsidRPr="00B068BF">
        <w:rPr>
          <w:rFonts w:ascii="Times New Roman" w:hAnsi="Times New Roman" w:cs="Times New Roman"/>
          <w:b/>
          <w:sz w:val="24"/>
          <w:szCs w:val="24"/>
          <w:lang w:val="ru-RU"/>
        </w:rPr>
        <w:t>Беларус</w:t>
      </w:r>
      <w:r w:rsidR="00D6459F" w:rsidRPr="00B068BF">
        <w:rPr>
          <w:rFonts w:ascii="Times New Roman" w:hAnsi="Times New Roman" w:cs="Times New Roman"/>
          <w:b/>
          <w:sz w:val="24"/>
          <w:szCs w:val="24"/>
          <w:lang w:val="ru-RU"/>
        </w:rPr>
        <w:t>ь</w:t>
      </w:r>
    </w:p>
    <w:p w14:paraId="67410F68" w14:textId="77777777" w:rsidR="00330344" w:rsidRPr="00B068BF" w:rsidRDefault="00330344" w:rsidP="00330344">
      <w:pPr>
        <w:spacing w:after="0" w:line="240" w:lineRule="auto"/>
        <w:ind w:firstLine="36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 xml:space="preserve">В части тенденций развития нумизматического рынка в государствах – участниках Евразийского совета центральных банков специалисты Национального банка Республики Беларусь регулярно осуществляет мониторинг официальных сайтов Центральных (Национальных) банков эмитентов касательно выпуска в обращение памятных монет, </w:t>
      </w:r>
      <w:r w:rsidRPr="00B068BF">
        <w:rPr>
          <w:rFonts w:ascii="Times New Roman" w:hAnsi="Times New Roman" w:cs="Times New Roman"/>
          <w:sz w:val="24"/>
          <w:szCs w:val="24"/>
          <w:lang w:val="ru-RU"/>
        </w:rPr>
        <w:lastRenderedPageBreak/>
        <w:t>изучаются тематики. Так по результатам мониторинга, можно сделать вывод, что большое внимание банками эмитентами уделяется национальным тематикам, отражающим культурные особенности, выпускаются монеты, посвященные юбилейным датам важных исторических событий, в том числе посвященные персоналиям. Также в обращение выпускается достаточно большое количество памятных монет сувенирной направленности, которые пользуются постоянным спросом со стороны населения.</w:t>
      </w:r>
    </w:p>
    <w:p w14:paraId="45F8EE16" w14:textId="77777777" w:rsidR="008E1AD2" w:rsidRPr="00B068BF" w:rsidRDefault="008E1AD2" w:rsidP="00330344">
      <w:pPr>
        <w:spacing w:after="0" w:line="240" w:lineRule="auto"/>
        <w:ind w:firstLine="360"/>
        <w:jc w:val="both"/>
        <w:rPr>
          <w:rFonts w:ascii="Times New Roman" w:hAnsi="Times New Roman" w:cs="Times New Roman"/>
          <w:sz w:val="24"/>
          <w:szCs w:val="24"/>
          <w:lang w:val="ru-RU"/>
        </w:rPr>
      </w:pPr>
    </w:p>
    <w:p w14:paraId="79D28BA5" w14:textId="77777777" w:rsidR="006B6573" w:rsidRPr="00B068BF" w:rsidRDefault="006B6573" w:rsidP="00D6459F">
      <w:pPr>
        <w:pStyle w:val="a3"/>
        <w:numPr>
          <w:ilvl w:val="0"/>
          <w:numId w:val="6"/>
        </w:numPr>
        <w:tabs>
          <w:tab w:val="left" w:pos="851"/>
        </w:tabs>
        <w:spacing w:after="0" w:line="240" w:lineRule="auto"/>
        <w:jc w:val="both"/>
        <w:rPr>
          <w:rFonts w:ascii="Times New Roman" w:hAnsi="Times New Roman" w:cs="Times New Roman"/>
          <w:b/>
          <w:sz w:val="24"/>
          <w:szCs w:val="24"/>
          <w:lang w:val="ru-RU"/>
        </w:rPr>
      </w:pPr>
      <w:r w:rsidRPr="00B068BF">
        <w:rPr>
          <w:rFonts w:ascii="Times New Roman" w:hAnsi="Times New Roman" w:cs="Times New Roman"/>
          <w:b/>
          <w:sz w:val="24"/>
          <w:szCs w:val="24"/>
          <w:lang w:val="ru-RU"/>
        </w:rPr>
        <w:t>Национальный банк Республики Казахстан</w:t>
      </w:r>
    </w:p>
    <w:p w14:paraId="1D4427FD" w14:textId="77777777" w:rsidR="00330344" w:rsidRPr="00B068BF" w:rsidRDefault="00330344" w:rsidP="00330344">
      <w:pPr>
        <w:pStyle w:val="a3"/>
        <w:tabs>
          <w:tab w:val="left" w:pos="851"/>
        </w:tabs>
        <w:spacing w:after="0" w:line="240" w:lineRule="auto"/>
        <w:ind w:left="0" w:firstLine="36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 xml:space="preserve">Профессиональный подход Национального Банка Казахстана и Казахстанского монетного двора к созданию монетной продукции позволил Казахстану за относительно короткий период времени войти в число их лучших производителей во всем мире. Это подтверждено многочисленными наградами, в различных номинациях – за качество изготовления, дизайн, новаторство технологии. </w:t>
      </w:r>
    </w:p>
    <w:p w14:paraId="5ABECFE1" w14:textId="77777777" w:rsidR="00330344" w:rsidRPr="00B068BF" w:rsidRDefault="00330344" w:rsidP="00330344">
      <w:pPr>
        <w:pStyle w:val="a3"/>
        <w:tabs>
          <w:tab w:val="left" w:pos="851"/>
        </w:tabs>
        <w:spacing w:after="0" w:line="240" w:lineRule="auto"/>
        <w:ind w:left="0" w:firstLine="45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 xml:space="preserve">В 2022 году Национальным Банком велась работа по разработке новых монет с внедрением передовых технологий и эксклюзивным дизайном. В результате проведённых испытаний была изготовлена инновационная монета </w:t>
      </w:r>
      <w:r w:rsidRPr="00B068BF">
        <w:rPr>
          <w:rFonts w:ascii="Times New Roman" w:hAnsi="Times New Roman" w:cs="Times New Roman"/>
          <w:sz w:val="24"/>
          <w:szCs w:val="24"/>
        </w:rPr>
        <w:t>BALQASH</w:t>
      </w:r>
      <w:r w:rsidRPr="00B068BF">
        <w:rPr>
          <w:rFonts w:ascii="Times New Roman" w:hAnsi="Times New Roman" w:cs="Times New Roman"/>
          <w:sz w:val="24"/>
          <w:szCs w:val="24"/>
          <w:lang w:val="ru-RU"/>
        </w:rPr>
        <w:t xml:space="preserve"> </w:t>
      </w:r>
      <w:r w:rsidRPr="00B068BF">
        <w:rPr>
          <w:rFonts w:ascii="Times New Roman" w:hAnsi="Times New Roman" w:cs="Times New Roman"/>
          <w:sz w:val="24"/>
          <w:szCs w:val="24"/>
        </w:rPr>
        <w:t>ALABU</w:t>
      </w:r>
      <w:r w:rsidRPr="00B068BF">
        <w:rPr>
          <w:rFonts w:ascii="Times New Roman" w:hAnsi="Times New Roman" w:cs="Times New Roman"/>
          <w:sz w:val="24"/>
          <w:szCs w:val="24"/>
          <w:lang w:val="ru-RU"/>
        </w:rPr>
        <w:t>Ǵ</w:t>
      </w:r>
      <w:r w:rsidRPr="00B068BF">
        <w:rPr>
          <w:rFonts w:ascii="Times New Roman" w:hAnsi="Times New Roman" w:cs="Times New Roman"/>
          <w:sz w:val="24"/>
          <w:szCs w:val="24"/>
        </w:rPr>
        <w:t>ASY</w:t>
      </w:r>
      <w:r w:rsidRPr="00B068BF">
        <w:rPr>
          <w:rFonts w:ascii="Times New Roman" w:hAnsi="Times New Roman" w:cs="Times New Roman"/>
          <w:sz w:val="24"/>
          <w:szCs w:val="24"/>
          <w:lang w:val="ru-RU"/>
        </w:rPr>
        <w:t xml:space="preserve"> (Балхашский окунь) с применением технологии 3Д и сверхвысокого рельефа 17 мм. Аналогов такого рельефа в мировом монетном производстве пока еще нет.</w:t>
      </w:r>
    </w:p>
    <w:p w14:paraId="6539C2B4" w14:textId="77777777" w:rsidR="00330344" w:rsidRPr="00B068BF" w:rsidRDefault="00330344" w:rsidP="00330344">
      <w:pPr>
        <w:pStyle w:val="a3"/>
        <w:tabs>
          <w:tab w:val="left" w:pos="851"/>
        </w:tabs>
        <w:spacing w:after="0" w:line="240" w:lineRule="auto"/>
        <w:ind w:left="0" w:firstLine="45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 xml:space="preserve">Также велась работа по новой серии «Идеи мироздания», в рамках которой будут выпускаться двухкомпонентные монеты из тантала и серебра с использованием уникальной конструкторской технологии в виде пазла. </w:t>
      </w:r>
    </w:p>
    <w:p w14:paraId="73EF56AB" w14:textId="77777777" w:rsidR="00330344" w:rsidRPr="00B068BF" w:rsidRDefault="00330344" w:rsidP="00330344">
      <w:pPr>
        <w:pStyle w:val="a3"/>
        <w:tabs>
          <w:tab w:val="left" w:pos="851"/>
        </w:tabs>
        <w:spacing w:after="0" w:line="240" w:lineRule="auto"/>
        <w:ind w:left="0" w:firstLine="450"/>
        <w:jc w:val="both"/>
        <w:rPr>
          <w:rFonts w:ascii="Times New Roman" w:hAnsi="Times New Roman" w:cs="Times New Roman"/>
          <w:sz w:val="24"/>
          <w:szCs w:val="24"/>
          <w:lang w:val="ru-RU"/>
        </w:rPr>
      </w:pPr>
      <w:r w:rsidRPr="00B068BF">
        <w:rPr>
          <w:rFonts w:ascii="Times New Roman" w:hAnsi="Times New Roman" w:cs="Times New Roman"/>
          <w:sz w:val="24"/>
          <w:szCs w:val="24"/>
          <w:lang w:val="ru-RU"/>
        </w:rPr>
        <w:t>В целом развитие рынка коллекционных монет из драгоценных металлов предполагает дальнейшую поддержку культурно-просветительской ориентированности в дизайне монет, продвижение отечественного монетного производства, привлечение новых активных участников рынка, удовлетворение потребности коллекционеров, развитие вторичного рынка монет через увеличение ассортимента монет и оптимизацию цен для более широкого охвата различных слоев населения.</w:t>
      </w:r>
    </w:p>
    <w:p w14:paraId="19604F4E" w14:textId="77777777" w:rsidR="009326A4" w:rsidRPr="00B068BF" w:rsidRDefault="009326A4" w:rsidP="00D6459F">
      <w:pPr>
        <w:spacing w:after="0" w:line="240" w:lineRule="auto"/>
        <w:jc w:val="both"/>
        <w:rPr>
          <w:rFonts w:ascii="Times New Roman" w:hAnsi="Times New Roman" w:cs="Times New Roman"/>
          <w:sz w:val="24"/>
          <w:szCs w:val="24"/>
          <w:lang w:val="ru-RU"/>
        </w:rPr>
      </w:pPr>
    </w:p>
    <w:p w14:paraId="1ECF195D" w14:textId="77777777" w:rsidR="00D6459F" w:rsidRPr="00B068BF" w:rsidRDefault="00D6459F" w:rsidP="00D6459F">
      <w:pPr>
        <w:pStyle w:val="a3"/>
        <w:numPr>
          <w:ilvl w:val="0"/>
          <w:numId w:val="6"/>
        </w:numPr>
        <w:tabs>
          <w:tab w:val="left" w:pos="851"/>
        </w:tabs>
        <w:spacing w:after="0" w:line="240" w:lineRule="auto"/>
        <w:jc w:val="both"/>
        <w:rPr>
          <w:rFonts w:ascii="Times New Roman" w:hAnsi="Times New Roman" w:cs="Times New Roman"/>
          <w:b/>
          <w:sz w:val="24"/>
          <w:szCs w:val="24"/>
          <w:lang w:val="ru-RU"/>
        </w:rPr>
      </w:pPr>
      <w:r w:rsidRPr="00B068BF">
        <w:rPr>
          <w:rFonts w:ascii="Times New Roman" w:eastAsia="Calibri" w:hAnsi="Times New Roman" w:cs="Times New Roman"/>
          <w:b/>
          <w:color w:val="000000"/>
          <w:sz w:val="24"/>
          <w:szCs w:val="24"/>
          <w:lang w:val="ru-RU"/>
        </w:rPr>
        <w:t>Национальный банк Кыргызской Республики</w:t>
      </w:r>
    </w:p>
    <w:p w14:paraId="0A0CB6D7" w14:textId="77777777" w:rsidR="00E15D31" w:rsidRPr="00B068BF" w:rsidRDefault="00E15D31" w:rsidP="00E15D31">
      <w:pPr>
        <w:spacing w:after="0" w:line="240" w:lineRule="auto"/>
        <w:ind w:firstLine="360"/>
        <w:jc w:val="both"/>
        <w:rPr>
          <w:rFonts w:ascii="Times New Roman" w:hAnsi="Times New Roman" w:cs="Times New Roman"/>
          <w:color w:val="000000" w:themeColor="text1"/>
          <w:sz w:val="24"/>
          <w:szCs w:val="24"/>
          <w:lang w:val="ru-RU"/>
        </w:rPr>
      </w:pPr>
      <w:r w:rsidRPr="00B068BF">
        <w:rPr>
          <w:rFonts w:ascii="Times New Roman" w:hAnsi="Times New Roman" w:cs="Times New Roman"/>
          <w:sz w:val="24"/>
          <w:szCs w:val="24"/>
          <w:lang w:val="ru-RU"/>
        </w:rPr>
        <w:t xml:space="preserve">Коллекционные монеты Кыргызстана являются не только сувенирным продуктом или предметом коллекционирования, но и важным источником информации. Национальный банк Кыргызской Республики выпускает коллекционные монеты в целях увековечения исторических событий, связанных со становлением кыргызской государственности, памятников культуры, ознаменования юбилейных дат, достижений в области культуры </w:t>
      </w:r>
      <w:r w:rsidRPr="00B068BF">
        <w:rPr>
          <w:rFonts w:ascii="Times New Roman" w:hAnsi="Times New Roman" w:cs="Times New Roman"/>
          <w:sz w:val="24"/>
          <w:szCs w:val="24"/>
          <w:lang w:val="ru-RU"/>
        </w:rPr>
        <w:br/>
        <w:t>и спорта, возрождения национальных обычаев и игр, популяризации исчезающих видов фауны и флоры Кыргызстана. </w:t>
      </w:r>
      <w:r w:rsidRPr="00B068BF">
        <w:rPr>
          <w:rFonts w:ascii="Times New Roman" w:hAnsi="Times New Roman" w:cs="Times New Roman"/>
          <w:color w:val="000000" w:themeColor="text1"/>
          <w:sz w:val="24"/>
          <w:szCs w:val="24"/>
          <w:lang w:val="ru-RU"/>
        </w:rPr>
        <w:t>Наибольшим спросом за последние годы пользуются монеты, выпущенные в сериях «Исторические события», «Красная книга Кыргызстана», «Национальные виды спорта» и «Эпоха Кыргызского каганата».</w:t>
      </w:r>
    </w:p>
    <w:p w14:paraId="24CF1679" w14:textId="77777777" w:rsidR="008B3E8C" w:rsidRPr="00B068BF" w:rsidRDefault="008B3E8C" w:rsidP="008B3E8C">
      <w:pPr>
        <w:tabs>
          <w:tab w:val="left" w:pos="360"/>
        </w:tabs>
        <w:spacing w:after="0" w:line="240" w:lineRule="auto"/>
        <w:jc w:val="both"/>
        <w:rPr>
          <w:rFonts w:ascii="Times New Roman" w:hAnsi="Times New Roman" w:cs="Times New Roman"/>
          <w:b/>
          <w:sz w:val="24"/>
          <w:szCs w:val="24"/>
          <w:lang w:val="ru-RU"/>
        </w:rPr>
      </w:pPr>
    </w:p>
    <w:p w14:paraId="379DD48F" w14:textId="77777777" w:rsidR="008B3E8C" w:rsidRPr="00B068BF" w:rsidRDefault="008B3E8C" w:rsidP="008B3E8C">
      <w:pPr>
        <w:tabs>
          <w:tab w:val="left" w:pos="360"/>
        </w:tabs>
        <w:spacing w:after="0" w:line="240" w:lineRule="auto"/>
        <w:jc w:val="both"/>
        <w:rPr>
          <w:rFonts w:ascii="Times New Roman" w:hAnsi="Times New Roman" w:cs="Times New Roman"/>
          <w:b/>
          <w:sz w:val="24"/>
          <w:szCs w:val="24"/>
          <w:u w:val="single"/>
          <w:lang w:val="ru-RU"/>
        </w:rPr>
      </w:pPr>
      <w:r w:rsidRPr="00B068BF">
        <w:rPr>
          <w:rFonts w:ascii="Times New Roman" w:hAnsi="Times New Roman" w:cs="Times New Roman"/>
          <w:b/>
          <w:sz w:val="24"/>
          <w:szCs w:val="24"/>
          <w:lang w:val="ru-RU"/>
        </w:rPr>
        <w:tab/>
      </w:r>
      <w:r w:rsidR="000F3E40" w:rsidRPr="00B068BF">
        <w:rPr>
          <w:rFonts w:ascii="Times New Roman" w:hAnsi="Times New Roman" w:cs="Times New Roman"/>
          <w:b/>
          <w:sz w:val="24"/>
          <w:szCs w:val="24"/>
          <w:lang w:val="hy-AM"/>
        </w:rPr>
        <w:t>5</w:t>
      </w:r>
      <w:r w:rsidRPr="00B068BF">
        <w:rPr>
          <w:rFonts w:ascii="Times New Roman" w:hAnsi="Times New Roman" w:cs="Times New Roman"/>
          <w:b/>
          <w:sz w:val="24"/>
          <w:szCs w:val="24"/>
          <w:lang w:val="ru-RU"/>
        </w:rPr>
        <w:t>. Центральный банк Российской Федерации</w:t>
      </w:r>
    </w:p>
    <w:p w14:paraId="66C9B662" w14:textId="276D3AEC" w:rsidR="00BD18A3" w:rsidRDefault="00535352" w:rsidP="002F56E3">
      <w:pPr>
        <w:spacing w:after="0" w:line="240" w:lineRule="auto"/>
        <w:ind w:firstLine="360"/>
        <w:jc w:val="both"/>
        <w:rPr>
          <w:rFonts w:ascii="Times New Roman" w:eastAsia="Times New Roman" w:hAnsi="Times New Roman" w:cs="Times New Roman"/>
          <w:sz w:val="24"/>
          <w:szCs w:val="24"/>
          <w:lang w:val="ru-RU"/>
        </w:rPr>
      </w:pPr>
      <w:r w:rsidRPr="00B068BF">
        <w:rPr>
          <w:rFonts w:ascii="Times New Roman" w:hAnsi="Times New Roman" w:cs="Times New Roman"/>
          <w:sz w:val="24"/>
          <w:szCs w:val="24"/>
          <w:lang w:val="ru-RU"/>
        </w:rPr>
        <w:t>Банк России нормативно и законодательно не наделен правами в части осуществления мероприятий, связанных с вопросами развития нумизматического рынка.</w:t>
      </w:r>
    </w:p>
    <w:p w14:paraId="68BFCB3C" w14:textId="77777777" w:rsidR="00534D39" w:rsidRPr="00B068BF" w:rsidRDefault="00534D39" w:rsidP="00535352">
      <w:pPr>
        <w:spacing w:after="0" w:line="240" w:lineRule="auto"/>
        <w:jc w:val="both"/>
        <w:rPr>
          <w:rFonts w:ascii="Times New Roman" w:eastAsia="Times New Roman" w:hAnsi="Times New Roman" w:cs="Times New Roman"/>
          <w:sz w:val="24"/>
          <w:szCs w:val="24"/>
          <w:lang w:val="ru-RU"/>
        </w:rPr>
      </w:pPr>
    </w:p>
    <w:sectPr w:rsidR="00534D39" w:rsidRPr="00B068BF" w:rsidSect="006C7E48">
      <w:footerReference w:type="default" r:id="rId59"/>
      <w:pgSz w:w="11906" w:h="16838" w:code="9"/>
      <w:pgMar w:top="1134" w:right="1361" w:bottom="1361" w:left="136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F33288" w14:textId="77777777" w:rsidR="0027297A" w:rsidRDefault="0027297A">
      <w:pPr>
        <w:spacing w:after="0" w:line="240" w:lineRule="auto"/>
      </w:pPr>
      <w:r>
        <w:separator/>
      </w:r>
    </w:p>
  </w:endnote>
  <w:endnote w:type="continuationSeparator" w:id="0">
    <w:p w14:paraId="05B868B3" w14:textId="77777777" w:rsidR="0027297A" w:rsidRDefault="0027297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CC"/>
    <w:family w:val="roman"/>
    <w:pitch w:val="variable"/>
    <w:sig w:usb0="04000687" w:usb1="00000000" w:usb2="00000000" w:usb3="00000000" w:csb0="0000009F" w:csb1="00000000"/>
  </w:font>
  <w:font w:name="GHEA Grapalat">
    <w:altName w:val="Sylfaen"/>
    <w:panose1 w:val="00000000000000000000"/>
    <w:charset w:val="00"/>
    <w:family w:val="modern"/>
    <w:notTrueType/>
    <w:pitch w:val="variable"/>
    <w:sig w:usb0="A00006AF" w:usb1="5000204B" w:usb2="00000000" w:usb3="00000000" w:csb0="0000009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63028814"/>
      <w:docPartObj>
        <w:docPartGallery w:val="Page Numbers (Bottom of Page)"/>
        <w:docPartUnique/>
      </w:docPartObj>
    </w:sdtPr>
    <w:sdtEndPr>
      <w:rPr>
        <w:noProof/>
      </w:rPr>
    </w:sdtEndPr>
    <w:sdtContent>
      <w:p w14:paraId="10BDBEDE" w14:textId="77777777" w:rsidR="00227605" w:rsidRDefault="00227605">
        <w:pPr>
          <w:pStyle w:val="a6"/>
          <w:jc w:val="right"/>
        </w:pPr>
        <w:r>
          <w:fldChar w:fldCharType="begin"/>
        </w:r>
        <w:r>
          <w:instrText xml:space="preserve"> PAGE   \* MERGEFORMAT </w:instrText>
        </w:r>
        <w:r>
          <w:fldChar w:fldCharType="separate"/>
        </w:r>
        <w:r w:rsidR="00E62240">
          <w:rPr>
            <w:noProof/>
          </w:rPr>
          <w:t>19</w:t>
        </w:r>
        <w:r>
          <w:rPr>
            <w:noProof/>
          </w:rPr>
          <w:fldChar w:fldCharType="end"/>
        </w:r>
      </w:p>
    </w:sdtContent>
  </w:sdt>
  <w:p w14:paraId="5A4FFB20" w14:textId="77777777" w:rsidR="00227605" w:rsidRDefault="00227605">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A3B177" w14:textId="77777777" w:rsidR="0027297A" w:rsidRDefault="0027297A">
      <w:pPr>
        <w:spacing w:after="0" w:line="240" w:lineRule="auto"/>
      </w:pPr>
      <w:r>
        <w:separator/>
      </w:r>
    </w:p>
  </w:footnote>
  <w:footnote w:type="continuationSeparator" w:id="0">
    <w:p w14:paraId="29343DCB" w14:textId="77777777" w:rsidR="0027297A" w:rsidRDefault="0027297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812CA"/>
    <w:multiLevelType w:val="hybridMultilevel"/>
    <w:tmpl w:val="F43C25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D8D01C5"/>
    <w:multiLevelType w:val="hybridMultilevel"/>
    <w:tmpl w:val="2FD4315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F8A4AC3"/>
    <w:multiLevelType w:val="hybridMultilevel"/>
    <w:tmpl w:val="702CA7A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15:restartNumberingAfterBreak="0">
    <w:nsid w:val="2ADE3AC7"/>
    <w:multiLevelType w:val="hybridMultilevel"/>
    <w:tmpl w:val="288C11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AFA0578"/>
    <w:multiLevelType w:val="hybridMultilevel"/>
    <w:tmpl w:val="5000748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B396ADA"/>
    <w:multiLevelType w:val="hybridMultilevel"/>
    <w:tmpl w:val="F43C25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59C6AB1"/>
    <w:multiLevelType w:val="hybridMultilevel"/>
    <w:tmpl w:val="CCA08C7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393F5D52"/>
    <w:multiLevelType w:val="hybridMultilevel"/>
    <w:tmpl w:val="BEE604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BDB1041"/>
    <w:multiLevelType w:val="hybridMultilevel"/>
    <w:tmpl w:val="E3CA68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EEC1E1D"/>
    <w:multiLevelType w:val="hybridMultilevel"/>
    <w:tmpl w:val="288C11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0C57C4D"/>
    <w:multiLevelType w:val="hybridMultilevel"/>
    <w:tmpl w:val="D85600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8DA08A0"/>
    <w:multiLevelType w:val="hybridMultilevel"/>
    <w:tmpl w:val="D85600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3E7071C"/>
    <w:multiLevelType w:val="hybridMultilevel"/>
    <w:tmpl w:val="D19029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45E6403"/>
    <w:multiLevelType w:val="hybridMultilevel"/>
    <w:tmpl w:val="B226C7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7290D40"/>
    <w:multiLevelType w:val="hybridMultilevel"/>
    <w:tmpl w:val="288C11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9D635FC"/>
    <w:multiLevelType w:val="hybridMultilevel"/>
    <w:tmpl w:val="AA90E67A"/>
    <w:lvl w:ilvl="0" w:tplc="9AF895DE">
      <w:start w:val="1"/>
      <w:numFmt w:val="decimal"/>
      <w:lvlText w:val="%1."/>
      <w:lvlJc w:val="left"/>
      <w:pPr>
        <w:ind w:left="114" w:hanging="704"/>
      </w:pPr>
      <w:rPr>
        <w:rFonts w:hint="default"/>
        <w:w w:val="104"/>
      </w:rPr>
    </w:lvl>
    <w:lvl w:ilvl="1" w:tplc="E500F85C">
      <w:numFmt w:val="bullet"/>
      <w:lvlText w:val="-"/>
      <w:lvlJc w:val="left"/>
      <w:pPr>
        <w:ind w:left="527" w:hanging="219"/>
      </w:pPr>
      <w:rPr>
        <w:rFonts w:ascii="Times New Roman" w:eastAsia="Times New Roman" w:hAnsi="Times New Roman" w:cs="Times New Roman" w:hint="default"/>
        <w:w w:val="107"/>
      </w:rPr>
    </w:lvl>
    <w:lvl w:ilvl="2" w:tplc="8D8472BA">
      <w:numFmt w:val="bullet"/>
      <w:lvlText w:val="•"/>
      <w:lvlJc w:val="left"/>
      <w:pPr>
        <w:ind w:left="1531" w:hanging="219"/>
      </w:pPr>
      <w:rPr>
        <w:rFonts w:hint="default"/>
      </w:rPr>
    </w:lvl>
    <w:lvl w:ilvl="3" w:tplc="E46EF4D4">
      <w:numFmt w:val="bullet"/>
      <w:lvlText w:val="•"/>
      <w:lvlJc w:val="left"/>
      <w:pPr>
        <w:ind w:left="2542" w:hanging="219"/>
      </w:pPr>
      <w:rPr>
        <w:rFonts w:hint="default"/>
      </w:rPr>
    </w:lvl>
    <w:lvl w:ilvl="4" w:tplc="2BDA9634">
      <w:numFmt w:val="bullet"/>
      <w:lvlText w:val="•"/>
      <w:lvlJc w:val="left"/>
      <w:pPr>
        <w:ind w:left="3553" w:hanging="219"/>
      </w:pPr>
      <w:rPr>
        <w:rFonts w:hint="default"/>
      </w:rPr>
    </w:lvl>
    <w:lvl w:ilvl="5" w:tplc="F52E7CB8">
      <w:numFmt w:val="bullet"/>
      <w:lvlText w:val="•"/>
      <w:lvlJc w:val="left"/>
      <w:pPr>
        <w:ind w:left="4565" w:hanging="219"/>
      </w:pPr>
      <w:rPr>
        <w:rFonts w:hint="default"/>
      </w:rPr>
    </w:lvl>
    <w:lvl w:ilvl="6" w:tplc="310E6C5E">
      <w:numFmt w:val="bullet"/>
      <w:lvlText w:val="•"/>
      <w:lvlJc w:val="left"/>
      <w:pPr>
        <w:ind w:left="5576" w:hanging="219"/>
      </w:pPr>
      <w:rPr>
        <w:rFonts w:hint="default"/>
      </w:rPr>
    </w:lvl>
    <w:lvl w:ilvl="7" w:tplc="B44EC5B4">
      <w:numFmt w:val="bullet"/>
      <w:lvlText w:val="•"/>
      <w:lvlJc w:val="left"/>
      <w:pPr>
        <w:ind w:left="6587" w:hanging="219"/>
      </w:pPr>
      <w:rPr>
        <w:rFonts w:hint="default"/>
      </w:rPr>
    </w:lvl>
    <w:lvl w:ilvl="8" w:tplc="098CB66C">
      <w:numFmt w:val="bullet"/>
      <w:lvlText w:val="•"/>
      <w:lvlJc w:val="left"/>
      <w:pPr>
        <w:ind w:left="7599" w:hanging="219"/>
      </w:pPr>
      <w:rPr>
        <w:rFonts w:hint="default"/>
      </w:rPr>
    </w:lvl>
  </w:abstractNum>
  <w:abstractNum w:abstractNumId="16" w15:restartNumberingAfterBreak="0">
    <w:nsid w:val="5F534855"/>
    <w:multiLevelType w:val="hybridMultilevel"/>
    <w:tmpl w:val="05644450"/>
    <w:lvl w:ilvl="0" w:tplc="0409000F">
      <w:start w:val="1"/>
      <w:numFmt w:val="decimal"/>
      <w:lvlText w:val="%1."/>
      <w:lvlJc w:val="left"/>
      <w:pPr>
        <w:ind w:left="63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757335C"/>
    <w:multiLevelType w:val="hybridMultilevel"/>
    <w:tmpl w:val="F43C25F2"/>
    <w:lvl w:ilvl="0" w:tplc="0409000F">
      <w:start w:val="1"/>
      <w:numFmt w:val="decimal"/>
      <w:lvlText w:val="%1."/>
      <w:lvlJc w:val="left"/>
      <w:pPr>
        <w:ind w:left="63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A580255"/>
    <w:multiLevelType w:val="hybridMultilevel"/>
    <w:tmpl w:val="B226C7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4BD598B"/>
    <w:multiLevelType w:val="hybridMultilevel"/>
    <w:tmpl w:val="9836BCD8"/>
    <w:lvl w:ilvl="0" w:tplc="6A8280CC">
      <w:start w:val="2022"/>
      <w:numFmt w:val="decimal"/>
      <w:lvlText w:val="%1"/>
      <w:lvlJc w:val="left"/>
      <w:pPr>
        <w:ind w:left="818" w:hanging="435"/>
      </w:pPr>
      <w:rPr>
        <w:rFonts w:cs="Sylfaen" w:hint="default"/>
        <w:b w:val="0"/>
        <w:sz w:val="20"/>
        <w:u w:val="none"/>
      </w:rPr>
    </w:lvl>
    <w:lvl w:ilvl="1" w:tplc="04090019" w:tentative="1">
      <w:start w:val="1"/>
      <w:numFmt w:val="lowerLetter"/>
      <w:lvlText w:val="%2."/>
      <w:lvlJc w:val="left"/>
      <w:pPr>
        <w:ind w:left="1463" w:hanging="360"/>
      </w:pPr>
    </w:lvl>
    <w:lvl w:ilvl="2" w:tplc="0409001B" w:tentative="1">
      <w:start w:val="1"/>
      <w:numFmt w:val="lowerRoman"/>
      <w:lvlText w:val="%3."/>
      <w:lvlJc w:val="right"/>
      <w:pPr>
        <w:ind w:left="2183" w:hanging="180"/>
      </w:pPr>
    </w:lvl>
    <w:lvl w:ilvl="3" w:tplc="0409000F" w:tentative="1">
      <w:start w:val="1"/>
      <w:numFmt w:val="decimal"/>
      <w:lvlText w:val="%4."/>
      <w:lvlJc w:val="left"/>
      <w:pPr>
        <w:ind w:left="2903" w:hanging="360"/>
      </w:pPr>
    </w:lvl>
    <w:lvl w:ilvl="4" w:tplc="04090019" w:tentative="1">
      <w:start w:val="1"/>
      <w:numFmt w:val="lowerLetter"/>
      <w:lvlText w:val="%5."/>
      <w:lvlJc w:val="left"/>
      <w:pPr>
        <w:ind w:left="3623" w:hanging="360"/>
      </w:pPr>
    </w:lvl>
    <w:lvl w:ilvl="5" w:tplc="0409001B" w:tentative="1">
      <w:start w:val="1"/>
      <w:numFmt w:val="lowerRoman"/>
      <w:lvlText w:val="%6."/>
      <w:lvlJc w:val="right"/>
      <w:pPr>
        <w:ind w:left="4343" w:hanging="180"/>
      </w:pPr>
    </w:lvl>
    <w:lvl w:ilvl="6" w:tplc="0409000F" w:tentative="1">
      <w:start w:val="1"/>
      <w:numFmt w:val="decimal"/>
      <w:lvlText w:val="%7."/>
      <w:lvlJc w:val="left"/>
      <w:pPr>
        <w:ind w:left="5063" w:hanging="360"/>
      </w:pPr>
    </w:lvl>
    <w:lvl w:ilvl="7" w:tplc="04090019" w:tentative="1">
      <w:start w:val="1"/>
      <w:numFmt w:val="lowerLetter"/>
      <w:lvlText w:val="%8."/>
      <w:lvlJc w:val="left"/>
      <w:pPr>
        <w:ind w:left="5783" w:hanging="360"/>
      </w:pPr>
    </w:lvl>
    <w:lvl w:ilvl="8" w:tplc="0409001B" w:tentative="1">
      <w:start w:val="1"/>
      <w:numFmt w:val="lowerRoman"/>
      <w:lvlText w:val="%9."/>
      <w:lvlJc w:val="right"/>
      <w:pPr>
        <w:ind w:left="6503" w:hanging="180"/>
      </w:pPr>
    </w:lvl>
  </w:abstractNum>
  <w:abstractNum w:abstractNumId="20" w15:restartNumberingAfterBreak="0">
    <w:nsid w:val="7E4D36F6"/>
    <w:multiLevelType w:val="hybridMultilevel"/>
    <w:tmpl w:val="49B876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4"/>
  </w:num>
  <w:num w:numId="2">
    <w:abstractNumId w:val="8"/>
  </w:num>
  <w:num w:numId="3">
    <w:abstractNumId w:val="11"/>
  </w:num>
  <w:num w:numId="4">
    <w:abstractNumId w:val="20"/>
  </w:num>
  <w:num w:numId="5">
    <w:abstractNumId w:val="16"/>
  </w:num>
  <w:num w:numId="6">
    <w:abstractNumId w:val="12"/>
  </w:num>
  <w:num w:numId="7">
    <w:abstractNumId w:val="2"/>
  </w:num>
  <w:num w:numId="8">
    <w:abstractNumId w:val="7"/>
  </w:num>
  <w:num w:numId="9">
    <w:abstractNumId w:val="13"/>
  </w:num>
  <w:num w:numId="10">
    <w:abstractNumId w:val="9"/>
  </w:num>
  <w:num w:numId="11">
    <w:abstractNumId w:val="3"/>
  </w:num>
  <w:num w:numId="12">
    <w:abstractNumId w:val="0"/>
  </w:num>
  <w:num w:numId="13">
    <w:abstractNumId w:val="1"/>
  </w:num>
  <w:num w:numId="14">
    <w:abstractNumId w:val="15"/>
  </w:num>
  <w:num w:numId="15">
    <w:abstractNumId w:val="18"/>
  </w:num>
  <w:num w:numId="16">
    <w:abstractNumId w:val="5"/>
  </w:num>
  <w:num w:numId="17">
    <w:abstractNumId w:val="17"/>
  </w:num>
  <w:num w:numId="18">
    <w:abstractNumId w:val="6"/>
  </w:num>
  <w:num w:numId="19">
    <w:abstractNumId w:val="19"/>
  </w:num>
  <w:num w:numId="20">
    <w:abstractNumId w:val="10"/>
  </w:num>
  <w:num w:numId="2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proofState w:grammar="clean"/>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6C79"/>
    <w:rsid w:val="00014F3F"/>
    <w:rsid w:val="00075FBB"/>
    <w:rsid w:val="000F3E40"/>
    <w:rsid w:val="00134945"/>
    <w:rsid w:val="00135BC8"/>
    <w:rsid w:val="00227605"/>
    <w:rsid w:val="0027297A"/>
    <w:rsid w:val="002750B6"/>
    <w:rsid w:val="00294E39"/>
    <w:rsid w:val="002C6C79"/>
    <w:rsid w:val="002F56E3"/>
    <w:rsid w:val="00330344"/>
    <w:rsid w:val="00334939"/>
    <w:rsid w:val="003569B0"/>
    <w:rsid w:val="003C6ADB"/>
    <w:rsid w:val="00430914"/>
    <w:rsid w:val="004A76A0"/>
    <w:rsid w:val="00521051"/>
    <w:rsid w:val="00534D39"/>
    <w:rsid w:val="00535352"/>
    <w:rsid w:val="005573B4"/>
    <w:rsid w:val="005A11F9"/>
    <w:rsid w:val="006B6573"/>
    <w:rsid w:val="006C7E48"/>
    <w:rsid w:val="007A7ED2"/>
    <w:rsid w:val="008001B9"/>
    <w:rsid w:val="008B3E8C"/>
    <w:rsid w:val="008E1AD2"/>
    <w:rsid w:val="0090165A"/>
    <w:rsid w:val="00905D03"/>
    <w:rsid w:val="009326A4"/>
    <w:rsid w:val="009648CC"/>
    <w:rsid w:val="009B0614"/>
    <w:rsid w:val="009B3EEF"/>
    <w:rsid w:val="009B62EF"/>
    <w:rsid w:val="009C0566"/>
    <w:rsid w:val="00A07761"/>
    <w:rsid w:val="00A7203D"/>
    <w:rsid w:val="00AE2FCB"/>
    <w:rsid w:val="00B068BF"/>
    <w:rsid w:val="00B70B1E"/>
    <w:rsid w:val="00B91B91"/>
    <w:rsid w:val="00BD18A3"/>
    <w:rsid w:val="00C21358"/>
    <w:rsid w:val="00C94689"/>
    <w:rsid w:val="00CD63F2"/>
    <w:rsid w:val="00CF55F7"/>
    <w:rsid w:val="00D6401B"/>
    <w:rsid w:val="00D6459F"/>
    <w:rsid w:val="00E13679"/>
    <w:rsid w:val="00E15D31"/>
    <w:rsid w:val="00E62240"/>
    <w:rsid w:val="00F8263D"/>
    <w:rsid w:val="00F94CC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206F12"/>
  <w15:chartTrackingRefBased/>
  <w15:docId w15:val="{C1B71DD6-D3DC-402F-92B3-DB74EC478F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GHEA Grapalat" w:eastAsiaTheme="minorHAnsi" w:hAnsi="GHEA Grapalat" w:cstheme="minorBidi"/>
        <w:sz w:val="22"/>
        <w:szCs w:val="22"/>
        <w:lang w:val="en-US" w:eastAsia="en-US" w:bidi="ar-SA"/>
      </w:rPr>
    </w:rPrDefault>
    <w:pPrDefault>
      <w:pPr>
        <w:spacing w:after="12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7203D"/>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Абзац,List Paragraph (numbered (a)),Lapis Bulleted List,Dot pt,F5 List Paragraph,List Paragraph Char Char Char,Indicator Text,Numbered Para 1,Bullet 1,List Paragraph12,Bullet Points,MAIN CONTENT,WB Para,List Paragraph1"/>
    <w:basedOn w:val="a"/>
    <w:link w:val="a4"/>
    <w:uiPriority w:val="34"/>
    <w:qFormat/>
    <w:rsid w:val="00A7203D"/>
    <w:pPr>
      <w:ind w:left="720"/>
      <w:contextualSpacing/>
    </w:pPr>
  </w:style>
  <w:style w:type="table" w:styleId="a5">
    <w:name w:val="Table Grid"/>
    <w:basedOn w:val="a1"/>
    <w:uiPriority w:val="39"/>
    <w:rsid w:val="00A7203D"/>
    <w:pPr>
      <w:spacing w:after="0" w:line="240" w:lineRule="auto"/>
    </w:pPr>
    <w:rPr>
      <w:rFonts w:asciiTheme="minorHAnsi" w:hAnsi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footer"/>
    <w:basedOn w:val="a"/>
    <w:link w:val="a7"/>
    <w:uiPriority w:val="99"/>
    <w:unhideWhenUsed/>
    <w:rsid w:val="00A7203D"/>
    <w:pPr>
      <w:tabs>
        <w:tab w:val="center" w:pos="4680"/>
        <w:tab w:val="right" w:pos="9360"/>
      </w:tabs>
      <w:spacing w:after="0" w:line="240" w:lineRule="auto"/>
    </w:pPr>
  </w:style>
  <w:style w:type="character" w:customStyle="1" w:styleId="a7">
    <w:name w:val="Нижний колонтитул Знак"/>
    <w:basedOn w:val="a0"/>
    <w:link w:val="a6"/>
    <w:uiPriority w:val="99"/>
    <w:rsid w:val="00A7203D"/>
  </w:style>
  <w:style w:type="paragraph" w:styleId="a8">
    <w:name w:val="Body Text"/>
    <w:basedOn w:val="a"/>
    <w:link w:val="a9"/>
    <w:uiPriority w:val="1"/>
    <w:qFormat/>
    <w:rsid w:val="00135BC8"/>
    <w:pPr>
      <w:widowControl w:val="0"/>
      <w:autoSpaceDE w:val="0"/>
      <w:autoSpaceDN w:val="0"/>
      <w:spacing w:after="0" w:line="240" w:lineRule="auto"/>
    </w:pPr>
    <w:rPr>
      <w:rFonts w:ascii="Times New Roman" w:eastAsia="Times New Roman" w:hAnsi="Times New Roman" w:cs="Times New Roman"/>
      <w:sz w:val="27"/>
      <w:szCs w:val="27"/>
    </w:rPr>
  </w:style>
  <w:style w:type="character" w:customStyle="1" w:styleId="a9">
    <w:name w:val="Основной текст Знак"/>
    <w:basedOn w:val="a0"/>
    <w:link w:val="a8"/>
    <w:uiPriority w:val="1"/>
    <w:rsid w:val="00135BC8"/>
    <w:rPr>
      <w:rFonts w:ascii="Times New Roman" w:eastAsia="Times New Roman" w:hAnsi="Times New Roman" w:cs="Times New Roman"/>
      <w:sz w:val="27"/>
      <w:szCs w:val="27"/>
    </w:rPr>
  </w:style>
  <w:style w:type="paragraph" w:customStyle="1" w:styleId="TableParagraph">
    <w:name w:val="Table Paragraph"/>
    <w:basedOn w:val="a"/>
    <w:uiPriority w:val="1"/>
    <w:qFormat/>
    <w:rsid w:val="00135BC8"/>
    <w:pPr>
      <w:widowControl w:val="0"/>
      <w:autoSpaceDE w:val="0"/>
      <w:autoSpaceDN w:val="0"/>
      <w:spacing w:after="0" w:line="240" w:lineRule="auto"/>
    </w:pPr>
    <w:rPr>
      <w:rFonts w:ascii="Arial" w:eastAsia="Arial" w:hAnsi="Arial" w:cs="Arial"/>
    </w:rPr>
  </w:style>
  <w:style w:type="character" w:customStyle="1" w:styleId="a4">
    <w:name w:val="Абзац списка Знак"/>
    <w:aliases w:val="Абзац Знак,List Paragraph (numbered (a)) Знак,Lapis Bulleted List Знак,Dot pt Знак,F5 List Paragraph Знак,List Paragraph Char Char Char Знак,Indicator Text Знак,Numbered Para 1 Знак,Bullet 1 Знак,List Paragraph12 Знак,MAIN CONTENT Знак"/>
    <w:basedOn w:val="a0"/>
    <w:link w:val="a3"/>
    <w:uiPriority w:val="34"/>
    <w:locked/>
    <w:rsid w:val="00294E39"/>
  </w:style>
  <w:style w:type="paragraph" w:styleId="aa">
    <w:name w:val="Body Text Indent"/>
    <w:basedOn w:val="a"/>
    <w:link w:val="ab"/>
    <w:uiPriority w:val="99"/>
    <w:unhideWhenUsed/>
    <w:rsid w:val="00227605"/>
    <w:pPr>
      <w:ind w:left="360"/>
    </w:pPr>
  </w:style>
  <w:style w:type="character" w:customStyle="1" w:styleId="ab">
    <w:name w:val="Основной текст с отступом Знак"/>
    <w:basedOn w:val="a0"/>
    <w:link w:val="aa"/>
    <w:uiPriority w:val="99"/>
    <w:rsid w:val="00227605"/>
  </w:style>
  <w:style w:type="character" w:styleId="ac">
    <w:name w:val="Hyperlink"/>
    <w:uiPriority w:val="99"/>
    <w:unhideWhenUsed/>
    <w:rsid w:val="00227605"/>
    <w:rPr>
      <w:color w:val="0563C1"/>
      <w:u w:val="single"/>
    </w:rPr>
  </w:style>
  <w:style w:type="paragraph" w:styleId="ad">
    <w:name w:val="footnote text"/>
    <w:basedOn w:val="a"/>
    <w:link w:val="ae"/>
    <w:rsid w:val="00227605"/>
    <w:pPr>
      <w:spacing w:after="0" w:line="240" w:lineRule="auto"/>
    </w:pPr>
    <w:rPr>
      <w:rFonts w:ascii="Times New Roman" w:eastAsia="Calibri" w:hAnsi="Times New Roman" w:cs="Times New Roman"/>
      <w:sz w:val="20"/>
      <w:szCs w:val="20"/>
      <w:lang w:val="ru-RU" w:eastAsia="ru-RU"/>
    </w:rPr>
  </w:style>
  <w:style w:type="character" w:customStyle="1" w:styleId="ae">
    <w:name w:val="Текст сноски Знак"/>
    <w:basedOn w:val="a0"/>
    <w:link w:val="ad"/>
    <w:rsid w:val="00227605"/>
    <w:rPr>
      <w:rFonts w:ascii="Times New Roman" w:eastAsia="Calibri" w:hAnsi="Times New Roman" w:cs="Times New Roman"/>
      <w:sz w:val="20"/>
      <w:szCs w:val="20"/>
      <w:lang w:val="ru-RU" w:eastAsia="ru-RU"/>
    </w:rPr>
  </w:style>
  <w:style w:type="character" w:styleId="af">
    <w:name w:val="footnote reference"/>
    <w:rsid w:val="00227605"/>
    <w:rPr>
      <w:vertAlign w:val="superscript"/>
    </w:rPr>
  </w:style>
  <w:style w:type="paragraph" w:styleId="af0">
    <w:name w:val="header"/>
    <w:basedOn w:val="a"/>
    <w:link w:val="af1"/>
    <w:uiPriority w:val="99"/>
    <w:unhideWhenUsed/>
    <w:rsid w:val="009C0566"/>
    <w:pPr>
      <w:tabs>
        <w:tab w:val="center" w:pos="4680"/>
        <w:tab w:val="right" w:pos="9360"/>
      </w:tabs>
      <w:spacing w:after="0" w:line="240" w:lineRule="auto"/>
    </w:pPr>
    <w:rPr>
      <w:rFonts w:asciiTheme="minorHAnsi" w:hAnsiTheme="minorHAnsi"/>
    </w:rPr>
  </w:style>
  <w:style w:type="character" w:customStyle="1" w:styleId="af1">
    <w:name w:val="Верхний колонтитул Знак"/>
    <w:basedOn w:val="a0"/>
    <w:link w:val="af0"/>
    <w:uiPriority w:val="99"/>
    <w:rsid w:val="009C0566"/>
    <w:rPr>
      <w:rFonts w:asciiTheme="minorHAnsi" w:hAnsiTheme="minorHAn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microsoft.com/office/2007/relationships/hdphoto" Target="media/hdphoto1.wdp"/><Relationship Id="rId26" Type="http://schemas.openxmlformats.org/officeDocument/2006/relationships/image" Target="media/image14.png"/><Relationship Id="rId39" Type="http://schemas.openxmlformats.org/officeDocument/2006/relationships/image" Target="media/image25.png"/><Relationship Id="rId21" Type="http://schemas.microsoft.com/office/2007/relationships/hdphoto" Target="media/hdphoto2.wdp"/><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chart" Target="charts/chart1.xml"/><Relationship Id="rId50" Type="http://schemas.openxmlformats.org/officeDocument/2006/relationships/chart" Target="charts/chart4.xml"/><Relationship Id="rId55" Type="http://schemas.openxmlformats.org/officeDocument/2006/relationships/image" Target="media/image34.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0.png"/><Relationship Id="rId29" Type="http://schemas.openxmlformats.org/officeDocument/2006/relationships/image" Target="media/image16.png"/><Relationship Id="rId41" Type="http://schemas.openxmlformats.org/officeDocument/2006/relationships/image" Target="media/image27.png"/><Relationship Id="rId54" Type="http://schemas.openxmlformats.org/officeDocument/2006/relationships/chart" Target="charts/chart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microsoft.com/office/2007/relationships/hdphoto" Target="media/hdphoto3.wdp"/><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jpeg"/><Relationship Id="rId53" Type="http://schemas.openxmlformats.org/officeDocument/2006/relationships/chart" Target="charts/chart6.xml"/><Relationship Id="rId58" Type="http://schemas.openxmlformats.org/officeDocument/2006/relationships/chart" Target="charts/chart9.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2.png"/><Relationship Id="rId28" Type="http://schemas.openxmlformats.org/officeDocument/2006/relationships/image" Target="media/image15.jpeg"/><Relationship Id="rId36" Type="http://schemas.openxmlformats.org/officeDocument/2006/relationships/image" Target="media/image22.png"/><Relationship Id="rId49" Type="http://schemas.openxmlformats.org/officeDocument/2006/relationships/chart" Target="charts/chart3.xml"/><Relationship Id="rId57" Type="http://schemas.openxmlformats.org/officeDocument/2006/relationships/chart" Target="charts/chart8.xml"/><Relationship Id="rId61"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9.jpeg"/><Relationship Id="rId31" Type="http://schemas.openxmlformats.org/officeDocument/2006/relationships/image" Target="media/image17.jpeg"/><Relationship Id="rId44" Type="http://schemas.openxmlformats.org/officeDocument/2006/relationships/image" Target="media/image30.jpeg"/><Relationship Id="rId52" Type="http://schemas.openxmlformats.org/officeDocument/2006/relationships/chart" Target="charts/chart5.xml"/><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yperlink" Target="http://cbr.ru/cash_circulation/memorable_coins/coins_base" TargetMode="External"/><Relationship Id="rId22" Type="http://schemas.openxmlformats.org/officeDocument/2006/relationships/image" Target="media/image11.jpeg"/><Relationship Id="rId27" Type="http://schemas.microsoft.com/office/2007/relationships/hdphoto" Target="media/hdphoto4.wdp"/><Relationship Id="rId30" Type="http://schemas.microsoft.com/office/2007/relationships/hdphoto" Target="media/hdphoto5.wdp"/><Relationship Id="rId35" Type="http://schemas.openxmlformats.org/officeDocument/2006/relationships/image" Target="media/image21.jpeg"/><Relationship Id="rId43" Type="http://schemas.openxmlformats.org/officeDocument/2006/relationships/image" Target="media/image29.png"/><Relationship Id="rId48" Type="http://schemas.openxmlformats.org/officeDocument/2006/relationships/chart" Target="charts/chart2.xml"/><Relationship Id="rId56" Type="http://schemas.openxmlformats.org/officeDocument/2006/relationships/image" Target="media/image35.jpeg"/><Relationship Id="rId8" Type="http://schemas.openxmlformats.org/officeDocument/2006/relationships/hyperlink" Target="http://www.gold10.ru" TargetMode="External"/><Relationship Id="rId51" Type="http://schemas.openxmlformats.org/officeDocument/2006/relationships/image" Target="media/image33.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8.png"/><Relationship Id="rId25" Type="http://schemas.openxmlformats.org/officeDocument/2006/relationships/image" Target="media/image13.jpe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jpeg"/><Relationship Id="rId59" Type="http://schemas.openxmlformats.org/officeDocument/2006/relationships/footer" Target="footer1.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Albert.Babasyan\Desktop\&#1329;&#1388;&#1378;&#1381;&#1408;&#1407;\Verlucutyun\2020%20.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Albert.Babasyan\Desktop\&#1329;&#1388;&#1378;&#1381;&#1408;&#1407;\Verlucutyun\2020%20.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Albert.Babasyan\Desktop\&#1329;&#1388;&#1378;&#1381;&#1408;&#1407;\Verlucutyun\2019.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Albert.Babasyan\Desktop\&#1329;&#1388;&#1378;&#1381;&#1408;&#1407;\Verlucutyun\2019.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embeddings/oleObject1.bin"/></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embeddings/oleObject2.bin"/></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embeddings/oleObject3.bin"/></Relationships>
</file>

<file path=word/charts/_rels/chart8.xml.rels><?xml version="1.0" encoding="UTF-8" standalone="yes"?>
<Relationships xmlns="http://schemas.openxmlformats.org/package/2006/relationships"><Relationship Id="rId3" Type="http://schemas.openxmlformats.org/officeDocument/2006/relationships/oleObject" Target="../embeddings/oleObject4.bin"/><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chartUserShapes" Target="../drawings/drawing1.xml"/></Relationships>
</file>

<file path=word/charts/_rels/chart9.xml.rels><?xml version="1.0" encoding="UTF-8" standalone="yes"?>
<Relationships xmlns="http://schemas.openxmlformats.org/package/2006/relationships"><Relationship Id="rId3" Type="http://schemas.openxmlformats.org/officeDocument/2006/relationships/oleObject" Target="../embeddings/oleObject5.bin"/><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chartUserShapes" Target="../drawings/drawing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view3D>
    <c:floor>
      <c:thickness val="0"/>
    </c:floor>
    <c:sideWall>
      <c:thickness val="0"/>
    </c:sideWall>
    <c:backWall>
      <c:thickness val="0"/>
    </c:backWall>
    <c:plotArea>
      <c:layout>
        <c:manualLayout>
          <c:layoutTarget val="inner"/>
          <c:xMode val="edge"/>
          <c:yMode val="edge"/>
          <c:x val="8.1846579746030629E-2"/>
          <c:y val="0.10157375444152501"/>
          <c:w val="0.70449688906265118"/>
          <c:h val="0.77948635903999475"/>
        </c:manualLayout>
      </c:layout>
      <c:pie3DChart>
        <c:varyColors val="1"/>
        <c:ser>
          <c:idx val="0"/>
          <c:order val="0"/>
          <c:explosion val="25"/>
          <c:dPt>
            <c:idx val="0"/>
            <c:bubble3D val="0"/>
            <c:spPr>
              <a:solidFill>
                <a:srgbClr val="FFC000"/>
              </a:solidFill>
            </c:spPr>
            <c:extLst>
              <c:ext xmlns:c16="http://schemas.microsoft.com/office/drawing/2014/chart" uri="{C3380CC4-5D6E-409C-BE32-E72D297353CC}">
                <c16:uniqueId val="{00000001-8FAD-42CF-AEEB-F1B55A8ADCEC}"/>
              </c:ext>
            </c:extLst>
          </c:dPt>
          <c:dPt>
            <c:idx val="1"/>
            <c:bubble3D val="0"/>
            <c:explosion val="23"/>
            <c:spPr>
              <a:solidFill>
                <a:schemeClr val="bg1">
                  <a:lumMod val="65000"/>
                </a:schemeClr>
              </a:solidFill>
            </c:spPr>
            <c:extLst>
              <c:ext xmlns:c16="http://schemas.microsoft.com/office/drawing/2014/chart" uri="{C3380CC4-5D6E-409C-BE32-E72D297353CC}">
                <c16:uniqueId val="{00000003-8FAD-42CF-AEEB-F1B55A8ADCEC}"/>
              </c:ext>
            </c:extLst>
          </c:dPt>
          <c:dLbls>
            <c:dLbl>
              <c:idx val="0"/>
              <c:layout>
                <c:manualLayout>
                  <c:x val="-7.2265833640327098E-2"/>
                  <c:y val="0.10233033969795309"/>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8FAD-42CF-AEEB-F1B55A8ADCEC}"/>
                </c:ext>
              </c:extLst>
            </c:dLbl>
            <c:dLbl>
              <c:idx val="1"/>
              <c:layout>
                <c:manualLayout>
                  <c:x val="0.13744854734542739"/>
                  <c:y val="-0.2594396786663648"/>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8FAD-42CF-AEEB-F1B55A8ADCEC}"/>
                </c:ext>
              </c:extLst>
            </c:dLbl>
            <c:dLbl>
              <c:idx val="2"/>
              <c:layout>
                <c:manualLayout>
                  <c:x val="0.15504921259842519"/>
                  <c:y val="-0.18510207057451153"/>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4-8FAD-42CF-AEEB-F1B55A8ADCEC}"/>
                </c:ext>
              </c:extLst>
            </c:dLbl>
            <c:spPr>
              <a:noFill/>
              <a:ln>
                <a:noFill/>
              </a:ln>
              <a:effectLst/>
            </c:spPr>
            <c:txPr>
              <a:bodyPr/>
              <a:lstStyle/>
              <a:p>
                <a:pPr>
                  <a:defRPr sz="1200" b="1">
                    <a:latin typeface="GHEA Grapalat" pitchFamily="50" charset="0"/>
                  </a:defRPr>
                </a:pPr>
                <a:endParaRPr lang="ru-RU"/>
              </a:p>
            </c:txPr>
            <c:showLegendKey val="0"/>
            <c:showVal val="0"/>
            <c:showCatName val="0"/>
            <c:showSerName val="0"/>
            <c:showPercent val="1"/>
            <c:showBubbleSize val="0"/>
            <c:showLeaderLines val="1"/>
            <c:extLst>
              <c:ext xmlns:c15="http://schemas.microsoft.com/office/drawing/2012/chart" uri="{CE6537A1-D6FC-4f65-9D91-7224C49458BB}"/>
            </c:extLst>
          </c:dLbls>
          <c:cat>
            <c:strRef>
              <c:f>Տարեկան!$A$85:$A$86</c:f>
              <c:strCache>
                <c:ptCount val="2"/>
                <c:pt idx="0">
                  <c:v>200 ֌</c:v>
                </c:pt>
                <c:pt idx="1">
                  <c:v>500 ֌</c:v>
                </c:pt>
              </c:strCache>
            </c:strRef>
          </c:cat>
          <c:val>
            <c:numRef>
              <c:f>Տարեկան!$B$85:$B$86</c:f>
              <c:numCache>
                <c:formatCode>General</c:formatCode>
                <c:ptCount val="2"/>
                <c:pt idx="0">
                  <c:v>20</c:v>
                </c:pt>
                <c:pt idx="1">
                  <c:v>118</c:v>
                </c:pt>
              </c:numCache>
            </c:numRef>
          </c:val>
          <c:extLst>
            <c:ext xmlns:c16="http://schemas.microsoft.com/office/drawing/2014/chart" uri="{C3380CC4-5D6E-409C-BE32-E72D297353CC}">
              <c16:uniqueId val="{00000005-8FAD-42CF-AEEB-F1B55A8ADCEC}"/>
            </c:ext>
          </c:extLst>
        </c:ser>
        <c:dLbls>
          <c:showLegendKey val="0"/>
          <c:showVal val="0"/>
          <c:showCatName val="0"/>
          <c:showSerName val="0"/>
          <c:showPercent val="0"/>
          <c:showBubbleSize val="0"/>
          <c:showLeaderLines val="1"/>
        </c:dLbls>
      </c:pie3DChart>
    </c:plotArea>
    <c:legend>
      <c:legendPos val="r"/>
      <c:overlay val="0"/>
      <c:txPr>
        <a:bodyPr/>
        <a:lstStyle/>
        <a:p>
          <a:pPr>
            <a:defRPr sz="1200" b="1">
              <a:latin typeface="GHEA Grapalat" pitchFamily="50" charset="0"/>
            </a:defRPr>
          </a:pPr>
          <a:endParaRPr lang="ru-RU"/>
        </a:p>
      </c:txPr>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view3D>
    <c:floor>
      <c:thickness val="0"/>
    </c:floor>
    <c:sideWall>
      <c:thickness val="0"/>
    </c:sideWall>
    <c:backWall>
      <c:thickness val="0"/>
    </c:backWall>
    <c:plotArea>
      <c:layout/>
      <c:pie3DChart>
        <c:varyColors val="1"/>
        <c:ser>
          <c:idx val="0"/>
          <c:order val="0"/>
          <c:explosion val="25"/>
          <c:dLbls>
            <c:dLbl>
              <c:idx val="0"/>
              <c:layout>
                <c:manualLayout>
                  <c:x val="-0.16236397304992445"/>
                  <c:y val="-0.21070448858568924"/>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0-14C4-4699-BA67-852EF1F671D6}"/>
                </c:ext>
              </c:extLst>
            </c:dLbl>
            <c:dLbl>
              <c:idx val="1"/>
              <c:layout>
                <c:manualLayout>
                  <c:x val="-2.7481268664278434E-2"/>
                  <c:y val="1.0269867600754049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14C4-4699-BA67-852EF1F671D6}"/>
                </c:ext>
              </c:extLst>
            </c:dLbl>
            <c:dLbl>
              <c:idx val="3"/>
              <c:layout>
                <c:manualLayout>
                  <c:x val="1.4079844864206508E-2"/>
                  <c:y val="-4.3307527406247201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2-14C4-4699-BA67-852EF1F671D6}"/>
                </c:ext>
              </c:extLst>
            </c:dLbl>
            <c:dLbl>
              <c:idx val="4"/>
              <c:layout>
                <c:manualLayout>
                  <c:x val="6.207696785820016E-2"/>
                  <c:y val="8.1925321006827867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14C4-4699-BA67-852EF1F671D6}"/>
                </c:ext>
              </c:extLst>
            </c:dLbl>
            <c:spPr>
              <a:noFill/>
              <a:ln>
                <a:noFill/>
              </a:ln>
              <a:effectLst/>
            </c:spPr>
            <c:txPr>
              <a:bodyPr/>
              <a:lstStyle/>
              <a:p>
                <a:pPr>
                  <a:defRPr sz="1200" b="1">
                    <a:latin typeface="GHEA Grapalat" pitchFamily="50" charset="0"/>
                  </a:defRPr>
                </a:pPr>
                <a:endParaRPr lang="ru-RU"/>
              </a:p>
            </c:txPr>
            <c:showLegendKey val="0"/>
            <c:showVal val="0"/>
            <c:showCatName val="0"/>
            <c:showSerName val="0"/>
            <c:showPercent val="1"/>
            <c:showBubbleSize val="0"/>
            <c:showLeaderLines val="1"/>
            <c:extLst>
              <c:ext xmlns:c15="http://schemas.microsoft.com/office/drawing/2012/chart" uri="{CE6537A1-D6FC-4f65-9D91-7224C49458BB}"/>
            </c:extLst>
          </c:dLbls>
          <c:cat>
            <c:strRef>
              <c:f>Տարեկան!$A$89:$A$93</c:f>
              <c:strCache>
                <c:ptCount val="5"/>
                <c:pt idx="0">
                  <c:v>1000 ֌</c:v>
                </c:pt>
                <c:pt idx="1">
                  <c:v>2000֌</c:v>
                </c:pt>
                <c:pt idx="2">
                  <c:v>5000 ֌</c:v>
                </c:pt>
                <c:pt idx="3">
                  <c:v>10000 ֌</c:v>
                </c:pt>
                <c:pt idx="4">
                  <c:v>20 000 ֌</c:v>
                </c:pt>
              </c:strCache>
            </c:strRef>
          </c:cat>
          <c:val>
            <c:numRef>
              <c:f>Տարեկան!$B$89:$B$93</c:f>
              <c:numCache>
                <c:formatCode>General</c:formatCode>
                <c:ptCount val="5"/>
                <c:pt idx="0">
                  <c:v>285</c:v>
                </c:pt>
                <c:pt idx="1">
                  <c:v>5</c:v>
                </c:pt>
                <c:pt idx="2">
                  <c:v>7</c:v>
                </c:pt>
                <c:pt idx="3">
                  <c:v>6</c:v>
                </c:pt>
                <c:pt idx="4">
                  <c:v>34</c:v>
                </c:pt>
              </c:numCache>
            </c:numRef>
          </c:val>
          <c:extLst>
            <c:ext xmlns:c16="http://schemas.microsoft.com/office/drawing/2014/chart" uri="{C3380CC4-5D6E-409C-BE32-E72D297353CC}">
              <c16:uniqueId val="{00000004-14C4-4699-BA67-852EF1F671D6}"/>
            </c:ext>
          </c:extLst>
        </c:ser>
        <c:dLbls>
          <c:showLegendKey val="0"/>
          <c:showVal val="0"/>
          <c:showCatName val="0"/>
          <c:showSerName val="0"/>
          <c:showPercent val="0"/>
          <c:showBubbleSize val="0"/>
          <c:showLeaderLines val="1"/>
        </c:dLbls>
      </c:pie3DChart>
    </c:plotArea>
    <c:legend>
      <c:legendPos val="r"/>
      <c:overlay val="0"/>
      <c:txPr>
        <a:bodyPr/>
        <a:lstStyle/>
        <a:p>
          <a:pPr>
            <a:defRPr sz="1200" b="1">
              <a:latin typeface="GHEA Grapalat" pitchFamily="50" charset="0"/>
            </a:defRPr>
          </a:pPr>
          <a:endParaRPr lang="ru-RU"/>
        </a:p>
      </c:txPr>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manualLayout>
          <c:layoutTarget val="inner"/>
          <c:xMode val="edge"/>
          <c:yMode val="edge"/>
          <c:x val="7.2983814523184601E-2"/>
          <c:y val="8.3815333456089477E-2"/>
          <c:w val="0.91522834645669304"/>
          <c:h val="0.61713363954505684"/>
        </c:manualLayout>
      </c:layout>
      <c:bar3DChart>
        <c:barDir val="col"/>
        <c:grouping val="stacked"/>
        <c:varyColors val="0"/>
        <c:ser>
          <c:idx val="0"/>
          <c:order val="0"/>
          <c:tx>
            <c:strRef>
              <c:f>Տարեկան!$B$181</c:f>
              <c:strCache>
                <c:ptCount val="1"/>
                <c:pt idx="0">
                  <c:v>монеты</c:v>
                </c:pt>
              </c:strCache>
            </c:strRef>
          </c:tx>
          <c:spPr>
            <a:solidFill>
              <a:schemeClr val="accent1"/>
            </a:solidFill>
          </c:spPr>
          <c:invertIfNegative val="0"/>
          <c:dLbls>
            <c:dLbl>
              <c:idx val="0"/>
              <c:layout>
                <c:manualLayout>
                  <c:x val="4.4868199663488295E-3"/>
                  <c:y val="-6.8419934866761674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D64-4EE4-B341-41D300478446}"/>
                </c:ext>
              </c:extLst>
            </c:dLbl>
            <c:dLbl>
              <c:idx val="5"/>
              <c:layout>
                <c:manualLayout>
                  <c:x val="2.2434099831744251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D64-4EE4-B341-41D300478446}"/>
                </c:ext>
              </c:extLst>
            </c:dLbl>
            <c:dLbl>
              <c:idx val="6"/>
              <c:layout>
                <c:manualLayout>
                  <c:x val="4.4868199663488503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D64-4EE4-B341-41D300478446}"/>
                </c:ext>
              </c:extLst>
            </c:dLbl>
            <c:dLbl>
              <c:idx val="7"/>
              <c:layout>
                <c:manualLayout>
                  <c:x val="6.7302299495231935E-3"/>
                  <c:y val="-6.8419934866761674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D64-4EE4-B341-41D300478446}"/>
                </c:ext>
              </c:extLst>
            </c:dLbl>
            <c:dLbl>
              <c:idx val="8"/>
              <c:layout>
                <c:manualLayout>
                  <c:x val="2.2434099831743427E-3"/>
                  <c:y val="-6.8419934866761674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D64-4EE4-B341-41D300478446}"/>
                </c:ext>
              </c:extLst>
            </c:dLbl>
            <c:dLbl>
              <c:idx val="9"/>
              <c:layout>
                <c:manualLayout>
                  <c:x val="4.4868199663488503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D64-4EE4-B341-41D300478446}"/>
                </c:ext>
              </c:extLst>
            </c:dLbl>
            <c:dLbl>
              <c:idx val="10"/>
              <c:layout>
                <c:manualLayout>
                  <c:x val="2.2434099831744251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D64-4EE4-B341-41D300478446}"/>
                </c:ext>
              </c:extLst>
            </c:dLbl>
            <c:dLbl>
              <c:idx val="11"/>
              <c:layout>
                <c:manualLayout>
                  <c:x val="4.4868199663488503E-3"/>
                  <c:y val="6.8419934866761674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D64-4EE4-B341-41D300478446}"/>
                </c:ext>
              </c:extLst>
            </c:dLbl>
            <c:spPr>
              <a:noFill/>
              <a:ln>
                <a:noFill/>
              </a:ln>
              <a:effectLst/>
            </c:spPr>
            <c:txPr>
              <a:bodyPr wrap="square" lIns="38100" tIns="19050" rIns="38100" bIns="19050" anchor="ctr">
                <a:spAutoFit/>
              </a:bodyPr>
              <a:lstStyle/>
              <a:p>
                <a:pPr>
                  <a:defRPr b="1"/>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Տարեկան!$A$182:$A$193</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Տարեկան!$B$182:$B$193</c:f>
              <c:numCache>
                <c:formatCode>General</c:formatCode>
                <c:ptCount val="12"/>
                <c:pt idx="0">
                  <c:v>15</c:v>
                </c:pt>
                <c:pt idx="1">
                  <c:v>8</c:v>
                </c:pt>
                <c:pt idx="2">
                  <c:v>5</c:v>
                </c:pt>
                <c:pt idx="3">
                  <c:v>8</c:v>
                </c:pt>
                <c:pt idx="4">
                  <c:v>6</c:v>
                </c:pt>
                <c:pt idx="5">
                  <c:v>6</c:v>
                </c:pt>
                <c:pt idx="6">
                  <c:v>13</c:v>
                </c:pt>
                <c:pt idx="7">
                  <c:v>16</c:v>
                </c:pt>
                <c:pt idx="8">
                  <c:v>16</c:v>
                </c:pt>
                <c:pt idx="9">
                  <c:v>10</c:v>
                </c:pt>
                <c:pt idx="10">
                  <c:v>9</c:v>
                </c:pt>
                <c:pt idx="11">
                  <c:v>26</c:v>
                </c:pt>
              </c:numCache>
            </c:numRef>
          </c:val>
          <c:extLst>
            <c:ext xmlns:c16="http://schemas.microsoft.com/office/drawing/2014/chart" uri="{C3380CC4-5D6E-409C-BE32-E72D297353CC}">
              <c16:uniqueId val="{00000008-6D64-4EE4-B341-41D300478446}"/>
            </c:ext>
          </c:extLst>
        </c:ser>
        <c:ser>
          <c:idx val="1"/>
          <c:order val="1"/>
          <c:tx>
            <c:strRef>
              <c:f>Տարեկան!$C$181</c:f>
              <c:strCache>
                <c:ptCount val="1"/>
                <c:pt idx="0">
                  <c:v>банкноты</c:v>
                </c:pt>
              </c:strCache>
            </c:strRef>
          </c:tx>
          <c:spPr>
            <a:solidFill>
              <a:schemeClr val="accent2"/>
            </a:solidFill>
          </c:spPr>
          <c:invertIfNegative val="0"/>
          <c:dLbls>
            <c:dLbl>
              <c:idx val="9"/>
              <c:layout>
                <c:manualLayout>
                  <c:x val="4.4868199663488503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D64-4EE4-B341-41D300478446}"/>
                </c:ext>
              </c:extLst>
            </c:dLbl>
            <c:spPr>
              <a:noFill/>
              <a:ln>
                <a:noFill/>
              </a:ln>
              <a:effectLst/>
            </c:spPr>
            <c:txPr>
              <a:bodyPr wrap="square" lIns="38100" tIns="19050" rIns="38100" bIns="19050" anchor="ctr">
                <a:spAutoFit/>
              </a:bodyPr>
              <a:lstStyle/>
              <a:p>
                <a:pPr>
                  <a:defRPr b="1"/>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Տարեկան!$A$182:$A$193</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Տարեկան!$C$182:$C$193</c:f>
              <c:numCache>
                <c:formatCode>General</c:formatCode>
                <c:ptCount val="12"/>
                <c:pt idx="0">
                  <c:v>30</c:v>
                </c:pt>
                <c:pt idx="1">
                  <c:v>12</c:v>
                </c:pt>
                <c:pt idx="2">
                  <c:v>11</c:v>
                </c:pt>
                <c:pt idx="3">
                  <c:v>21</c:v>
                </c:pt>
                <c:pt idx="4">
                  <c:v>10</c:v>
                </c:pt>
                <c:pt idx="5">
                  <c:v>8</c:v>
                </c:pt>
                <c:pt idx="6">
                  <c:v>58</c:v>
                </c:pt>
                <c:pt idx="7">
                  <c:v>45</c:v>
                </c:pt>
                <c:pt idx="8">
                  <c:v>28</c:v>
                </c:pt>
                <c:pt idx="9">
                  <c:v>27</c:v>
                </c:pt>
                <c:pt idx="10">
                  <c:v>59</c:v>
                </c:pt>
                <c:pt idx="11">
                  <c:v>28</c:v>
                </c:pt>
              </c:numCache>
            </c:numRef>
          </c:val>
          <c:extLst>
            <c:ext xmlns:c16="http://schemas.microsoft.com/office/drawing/2014/chart" uri="{C3380CC4-5D6E-409C-BE32-E72D297353CC}">
              <c16:uniqueId val="{0000000A-6D64-4EE4-B341-41D300478446}"/>
            </c:ext>
          </c:extLst>
        </c:ser>
        <c:dLbls>
          <c:showLegendKey val="0"/>
          <c:showVal val="0"/>
          <c:showCatName val="0"/>
          <c:showSerName val="0"/>
          <c:showPercent val="0"/>
          <c:showBubbleSize val="0"/>
        </c:dLbls>
        <c:gapWidth val="150"/>
        <c:shape val="cylinder"/>
        <c:axId val="598773160"/>
        <c:axId val="598770808"/>
        <c:axId val="0"/>
      </c:bar3DChart>
      <c:catAx>
        <c:axId val="598773160"/>
        <c:scaling>
          <c:orientation val="minMax"/>
        </c:scaling>
        <c:delete val="0"/>
        <c:axPos val="b"/>
        <c:numFmt formatCode="General" sourceLinked="0"/>
        <c:majorTickMark val="out"/>
        <c:minorTickMark val="none"/>
        <c:tickLblPos val="nextTo"/>
        <c:txPr>
          <a:bodyPr/>
          <a:lstStyle/>
          <a:p>
            <a:pPr>
              <a:defRPr sz="1100" b="1"/>
            </a:pPr>
            <a:endParaRPr lang="ru-RU"/>
          </a:p>
        </c:txPr>
        <c:crossAx val="598770808"/>
        <c:crosses val="autoZero"/>
        <c:auto val="1"/>
        <c:lblAlgn val="ctr"/>
        <c:lblOffset val="100"/>
        <c:noMultiLvlLbl val="0"/>
      </c:catAx>
      <c:valAx>
        <c:axId val="598770808"/>
        <c:scaling>
          <c:orientation val="minMax"/>
        </c:scaling>
        <c:delete val="0"/>
        <c:axPos val="l"/>
        <c:majorGridlines/>
        <c:numFmt formatCode="General" sourceLinked="1"/>
        <c:majorTickMark val="out"/>
        <c:minorTickMark val="none"/>
        <c:tickLblPos val="nextTo"/>
        <c:txPr>
          <a:bodyPr/>
          <a:lstStyle/>
          <a:p>
            <a:pPr>
              <a:defRPr b="1"/>
            </a:pPr>
            <a:endParaRPr lang="ru-RU"/>
          </a:p>
        </c:txPr>
        <c:crossAx val="598773160"/>
        <c:crosses val="autoZero"/>
        <c:crossBetween val="between"/>
      </c:valAx>
    </c:plotArea>
    <c:legend>
      <c:legendPos val="r"/>
      <c:layout>
        <c:manualLayout>
          <c:xMode val="edge"/>
          <c:yMode val="edge"/>
          <c:x val="0.45110564304461942"/>
          <c:y val="8.5616931595057892E-3"/>
          <c:w val="0.44611657917760278"/>
          <c:h val="8.4695975503062113E-2"/>
        </c:manualLayout>
      </c:layout>
      <c:overlay val="0"/>
    </c:legend>
    <c:plotVisOnly val="1"/>
    <c:dispBlanksAs val="gap"/>
    <c:showDLblsOverMax val="0"/>
  </c:chart>
  <c:txPr>
    <a:bodyPr/>
    <a:lstStyle/>
    <a:p>
      <a:pPr>
        <a:defRPr sz="1100">
          <a:latin typeface="GHEA Grapalat" panose="02000506050000020003" pitchFamily="50" charset="0"/>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view3D>
    <c:floor>
      <c:thickness val="0"/>
    </c:floor>
    <c:sideWall>
      <c:thickness val="0"/>
    </c:sideWall>
    <c:backWall>
      <c:thickness val="0"/>
    </c:backWall>
    <c:plotArea>
      <c:layout/>
      <c:pie3DChart>
        <c:varyColors val="1"/>
        <c:ser>
          <c:idx val="0"/>
          <c:order val="0"/>
          <c:explosion val="25"/>
          <c:dPt>
            <c:idx val="1"/>
            <c:bubble3D val="0"/>
            <c:spPr>
              <a:solidFill>
                <a:srgbClr val="92D050"/>
              </a:solidFill>
            </c:spPr>
            <c:extLst>
              <c:ext xmlns:c16="http://schemas.microsoft.com/office/drawing/2014/chart" uri="{C3380CC4-5D6E-409C-BE32-E72D297353CC}">
                <c16:uniqueId val="{00000001-9773-4BC0-9EB4-5C411795CA6D}"/>
              </c:ext>
            </c:extLst>
          </c:dPt>
          <c:dPt>
            <c:idx val="2"/>
            <c:bubble3D val="0"/>
            <c:spPr>
              <a:solidFill>
                <a:schemeClr val="accent2"/>
              </a:solidFill>
            </c:spPr>
            <c:extLst>
              <c:ext xmlns:c16="http://schemas.microsoft.com/office/drawing/2014/chart" uri="{C3380CC4-5D6E-409C-BE32-E72D297353CC}">
                <c16:uniqueId val="{00000003-9773-4BC0-9EB4-5C411795CA6D}"/>
              </c:ext>
            </c:extLst>
          </c:dPt>
          <c:dLbls>
            <c:dLbl>
              <c:idx val="0"/>
              <c:layout>
                <c:manualLayout>
                  <c:x val="-3.6084019327129561E-2"/>
                  <c:y val="8.508594959917877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4-9773-4BC0-9EB4-5C411795CA6D}"/>
                </c:ext>
              </c:extLst>
            </c:dLbl>
            <c:dLbl>
              <c:idx val="1"/>
              <c:layout>
                <c:manualLayout>
                  <c:x val="-8.0670977644402841E-2"/>
                  <c:y val="5.4565683057515323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9773-4BC0-9EB4-5C411795CA6D}"/>
                </c:ext>
              </c:extLst>
            </c:dLbl>
            <c:dLbl>
              <c:idx val="2"/>
              <c:layout>
                <c:manualLayout>
                  <c:x val="0.16035331548372886"/>
                  <c:y val="-0.23569860380112623"/>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9773-4BC0-9EB4-5C411795CA6D}"/>
                </c:ext>
              </c:extLst>
            </c:dLbl>
            <c:spPr>
              <a:noFill/>
              <a:ln>
                <a:noFill/>
              </a:ln>
              <a:effectLst/>
            </c:spPr>
            <c:txPr>
              <a:bodyPr/>
              <a:lstStyle/>
              <a:p>
                <a:pPr>
                  <a:defRPr sz="1200" b="1">
                    <a:latin typeface="GHEA Grapalat" pitchFamily="50" charset="0"/>
                  </a:defRPr>
                </a:pPr>
                <a:endParaRPr lang="ru-RU"/>
              </a:p>
            </c:txPr>
            <c:showLegendKey val="0"/>
            <c:showVal val="0"/>
            <c:showCatName val="0"/>
            <c:showSerName val="0"/>
            <c:showPercent val="1"/>
            <c:showBubbleSize val="0"/>
            <c:showLeaderLines val="1"/>
            <c:extLst>
              <c:ext xmlns:c15="http://schemas.microsoft.com/office/drawing/2012/chart" uri="{CE6537A1-D6FC-4f65-9D91-7224C49458BB}"/>
            </c:extLst>
          </c:dLbls>
          <c:cat>
            <c:strRef>
              <c:f>Տարեկան!$A$90:$A$92</c:f>
              <c:strCache>
                <c:ptCount val="3"/>
                <c:pt idx="0">
                  <c:v>5000 ֌</c:v>
                </c:pt>
                <c:pt idx="1">
                  <c:v>10000 ֌</c:v>
                </c:pt>
                <c:pt idx="2">
                  <c:v>20 000 ֌</c:v>
                </c:pt>
              </c:strCache>
            </c:strRef>
          </c:cat>
          <c:val>
            <c:numRef>
              <c:f>Տարեկան!$B$90:$B$92</c:f>
              <c:numCache>
                <c:formatCode>General</c:formatCode>
                <c:ptCount val="3"/>
                <c:pt idx="0">
                  <c:v>1</c:v>
                </c:pt>
                <c:pt idx="1">
                  <c:v>2</c:v>
                </c:pt>
                <c:pt idx="2">
                  <c:v>14</c:v>
                </c:pt>
              </c:numCache>
            </c:numRef>
          </c:val>
          <c:extLst>
            <c:ext xmlns:c16="http://schemas.microsoft.com/office/drawing/2014/chart" uri="{C3380CC4-5D6E-409C-BE32-E72D297353CC}">
              <c16:uniqueId val="{00000005-9773-4BC0-9EB4-5C411795CA6D}"/>
            </c:ext>
          </c:extLst>
        </c:ser>
        <c:dLbls>
          <c:showLegendKey val="0"/>
          <c:showVal val="0"/>
          <c:showCatName val="0"/>
          <c:showSerName val="0"/>
          <c:showPercent val="0"/>
          <c:showBubbleSize val="0"/>
          <c:showLeaderLines val="1"/>
        </c:dLbls>
      </c:pie3DChart>
    </c:plotArea>
    <c:legend>
      <c:legendPos val="r"/>
      <c:overlay val="0"/>
      <c:txPr>
        <a:bodyPr/>
        <a:lstStyle/>
        <a:p>
          <a:pPr>
            <a:defRPr sz="900" b="1">
              <a:latin typeface="GHEA Grapalat" pitchFamily="50" charset="0"/>
            </a:defRPr>
          </a:pPr>
          <a:endParaRPr lang="ru-RU"/>
        </a:p>
      </c:txPr>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doughnutChart>
        <c:varyColors val="1"/>
        <c:ser>
          <c:idx val="0"/>
          <c:order val="0"/>
          <c:dPt>
            <c:idx val="0"/>
            <c:bubble3D val="0"/>
            <c:spPr>
              <a:solidFill>
                <a:schemeClr val="accent3">
                  <a:lumMod val="50000"/>
                </a:schemeClr>
              </a:solidFill>
              <a:ln w="19050">
                <a:solidFill>
                  <a:schemeClr val="lt1"/>
                </a:solidFill>
              </a:ln>
              <a:effectLst/>
            </c:spPr>
            <c:extLst>
              <c:ext xmlns:c16="http://schemas.microsoft.com/office/drawing/2014/chart" uri="{C3380CC4-5D6E-409C-BE32-E72D297353CC}">
                <c16:uniqueId val="{00000001-5E50-4E5F-9726-4FDFFEB8572A}"/>
              </c:ext>
            </c:extLst>
          </c:dPt>
          <c:dPt>
            <c:idx val="1"/>
            <c:bubble3D val="0"/>
            <c:spPr>
              <a:solidFill>
                <a:srgbClr val="FFC000"/>
              </a:solidFill>
              <a:ln w="19050">
                <a:solidFill>
                  <a:schemeClr val="lt1"/>
                </a:solidFill>
              </a:ln>
              <a:effectLst/>
            </c:spPr>
            <c:extLst>
              <c:ext xmlns:c16="http://schemas.microsoft.com/office/drawing/2014/chart" uri="{C3380CC4-5D6E-409C-BE32-E72D297353CC}">
                <c16:uniqueId val="{00000003-5E50-4E5F-9726-4FDFFEB8572A}"/>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5E50-4E5F-9726-4FDFFEB8572A}"/>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5E50-4E5F-9726-4FDFFEB8572A}"/>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5E50-4E5F-9726-4FDFFEB8572A}"/>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5E50-4E5F-9726-4FDFFEB8572A}"/>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5E50-4E5F-9726-4FDFFEB8572A}"/>
              </c:ext>
            </c:extLst>
          </c:dPt>
          <c:dLbls>
            <c:dLbl>
              <c:idx val="0"/>
              <c:layout>
                <c:manualLayout>
                  <c:x val="7.12155127766219E-2"/>
                  <c:y val="4.24856933866873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E50-4E5F-9726-4FDFFEB8572A}"/>
                </c:ext>
              </c:extLst>
            </c:dLbl>
            <c:dLbl>
              <c:idx val="1"/>
              <c:layout>
                <c:manualLayout>
                  <c:x val="-5.7844960015449573E-2"/>
                  <c:y val="2.77780646271675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E50-4E5F-9726-4FDFFEB8572A}"/>
                </c:ext>
              </c:extLst>
            </c:dLbl>
            <c:dLbl>
              <c:idx val="2"/>
              <c:layout>
                <c:manualLayout>
                  <c:x val="-4.4444425020027788E-2"/>
                  <c:y val="-3.2383446650991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E50-4E5F-9726-4FDFFEB8572A}"/>
                </c:ext>
              </c:extLst>
            </c:dLbl>
            <c:dLbl>
              <c:idx val="3"/>
              <c:layout>
                <c:manualLayout>
                  <c:x val="-2.7777765637517368E-2"/>
                  <c:y val="-5.09098703763821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E50-4E5F-9726-4FDFFEB8572A}"/>
                </c:ext>
              </c:extLst>
            </c:dLbl>
            <c:dLbl>
              <c:idx val="4"/>
              <c:layout>
                <c:manualLayout>
                  <c:x val="-1.6644138232720911E-2"/>
                  <c:y val="-6.492526387389403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E50-4E5F-9726-4FDFFEB8572A}"/>
                </c:ext>
              </c:extLst>
            </c:dLbl>
            <c:dLbl>
              <c:idx val="5"/>
              <c:layout>
                <c:manualLayout>
                  <c:x val="-5.545494313210747E-3"/>
                  <c:y val="-6.95636172584425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E50-4E5F-9726-4FDFFEB8572A}"/>
                </c:ext>
              </c:extLst>
            </c:dLbl>
            <c:dLbl>
              <c:idx val="6"/>
              <c:layout>
                <c:manualLayout>
                  <c:x val="2.7626859142607174E-3"/>
                  <c:y val="-6.9565077697165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5E50-4E5F-9726-4FDFFEB8572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extLst>
          </c:dLbls>
          <c:cat>
            <c:strRef>
              <c:f>Аналитика!$C$102:$C$108</c:f>
              <c:strCache>
                <c:ptCount val="7"/>
                <c:pt idx="0">
                  <c:v>2000 тенге</c:v>
                </c:pt>
                <c:pt idx="1">
                  <c:v>5000 тенге</c:v>
                </c:pt>
                <c:pt idx="2">
                  <c:v>10000 тенге</c:v>
                </c:pt>
                <c:pt idx="3">
                  <c:v>500 тенге</c:v>
                </c:pt>
                <c:pt idx="4">
                  <c:v>1000 тенге</c:v>
                </c:pt>
                <c:pt idx="5">
                  <c:v>200 тенге</c:v>
                </c:pt>
                <c:pt idx="6">
                  <c:v>Прочие*</c:v>
                </c:pt>
              </c:strCache>
            </c:strRef>
          </c:cat>
          <c:val>
            <c:numRef>
              <c:f>Аналитика!$D$102:$D$108</c:f>
              <c:numCache>
                <c:formatCode>General</c:formatCode>
                <c:ptCount val="7"/>
                <c:pt idx="0">
                  <c:v>340</c:v>
                </c:pt>
                <c:pt idx="1">
                  <c:v>94</c:v>
                </c:pt>
                <c:pt idx="2">
                  <c:v>36</c:v>
                </c:pt>
                <c:pt idx="3">
                  <c:v>23</c:v>
                </c:pt>
                <c:pt idx="4">
                  <c:v>15</c:v>
                </c:pt>
                <c:pt idx="5">
                  <c:v>3</c:v>
                </c:pt>
                <c:pt idx="6">
                  <c:v>8</c:v>
                </c:pt>
              </c:numCache>
            </c:numRef>
          </c:val>
          <c:extLst>
            <c:ext xmlns:c16="http://schemas.microsoft.com/office/drawing/2014/chart" uri="{C3380CC4-5D6E-409C-BE32-E72D297353CC}">
              <c16:uniqueId val="{0000000E-5E50-4E5F-9726-4FDFFEB8572A}"/>
            </c:ext>
          </c:extLst>
        </c:ser>
        <c:dLbls>
          <c:showLegendKey val="0"/>
          <c:showVal val="0"/>
          <c:showCatName val="0"/>
          <c:showSerName val="0"/>
          <c:showPercent val="0"/>
          <c:showBubbleSize val="0"/>
          <c:showLeaderLines val="0"/>
        </c:dLbls>
        <c:firstSliceAng val="0"/>
        <c:holeSize val="72"/>
      </c:doughnutChart>
      <c:spPr>
        <a:noFill/>
        <a:ln>
          <a:noFill/>
        </a:ln>
        <a:effectLst/>
      </c:spPr>
    </c:plotArea>
    <c:legend>
      <c:legendPos val="r"/>
      <c:layout>
        <c:manualLayout>
          <c:xMode val="edge"/>
          <c:yMode val="edge"/>
          <c:x val="0.71087984105487489"/>
          <c:y val="0.22608780752150748"/>
          <c:w val="0.26264712575667931"/>
          <c:h val="0.5478240197891740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doughnutChart>
        <c:varyColors val="1"/>
        <c:ser>
          <c:idx val="0"/>
          <c:order val="0"/>
          <c:dPt>
            <c:idx val="0"/>
            <c:bubble3D val="0"/>
            <c:spPr>
              <a:solidFill>
                <a:schemeClr val="accent3">
                  <a:lumMod val="50000"/>
                </a:schemeClr>
              </a:solidFill>
              <a:ln w="19050">
                <a:solidFill>
                  <a:schemeClr val="lt1"/>
                </a:solidFill>
              </a:ln>
              <a:effectLst/>
            </c:spPr>
            <c:extLst>
              <c:ext xmlns:c16="http://schemas.microsoft.com/office/drawing/2014/chart" uri="{C3380CC4-5D6E-409C-BE32-E72D297353CC}">
                <c16:uniqueId val="{00000001-5E50-4E5F-9726-4FDFFEB8572A}"/>
              </c:ext>
            </c:extLst>
          </c:dPt>
          <c:dPt>
            <c:idx val="1"/>
            <c:bubble3D val="0"/>
            <c:spPr>
              <a:solidFill>
                <a:srgbClr val="FFC000"/>
              </a:solidFill>
              <a:ln w="19050">
                <a:solidFill>
                  <a:schemeClr val="lt1"/>
                </a:solidFill>
              </a:ln>
              <a:effectLst/>
            </c:spPr>
            <c:extLst>
              <c:ext xmlns:c16="http://schemas.microsoft.com/office/drawing/2014/chart" uri="{C3380CC4-5D6E-409C-BE32-E72D297353CC}">
                <c16:uniqueId val="{00000003-5E50-4E5F-9726-4FDFFEB8572A}"/>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5E50-4E5F-9726-4FDFFEB8572A}"/>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5E50-4E5F-9726-4FDFFEB8572A}"/>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5E50-4E5F-9726-4FDFFEB8572A}"/>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5E50-4E5F-9726-4FDFFEB8572A}"/>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5E50-4E5F-9726-4FDFFEB8572A}"/>
              </c:ext>
            </c:extLst>
          </c:dPt>
          <c:dLbls>
            <c:dLbl>
              <c:idx val="0"/>
              <c:layout>
                <c:manualLayout>
                  <c:x val="7.12155127766219E-2"/>
                  <c:y val="4.24856933866873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E50-4E5F-9726-4FDFFEB8572A}"/>
                </c:ext>
              </c:extLst>
            </c:dLbl>
            <c:dLbl>
              <c:idx val="1"/>
              <c:layout>
                <c:manualLayout>
                  <c:x val="-5.7844960015449573E-2"/>
                  <c:y val="2.77780646271675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E50-4E5F-9726-4FDFFEB8572A}"/>
                </c:ext>
              </c:extLst>
            </c:dLbl>
            <c:dLbl>
              <c:idx val="2"/>
              <c:layout>
                <c:manualLayout>
                  <c:x val="-4.4444425020027788E-2"/>
                  <c:y val="-3.2383446650991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E50-4E5F-9726-4FDFFEB8572A}"/>
                </c:ext>
              </c:extLst>
            </c:dLbl>
            <c:dLbl>
              <c:idx val="3"/>
              <c:layout>
                <c:manualLayout>
                  <c:x val="-2.7777765637517368E-2"/>
                  <c:y val="-5.09098703763821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E50-4E5F-9726-4FDFFEB8572A}"/>
                </c:ext>
              </c:extLst>
            </c:dLbl>
            <c:dLbl>
              <c:idx val="4"/>
              <c:layout>
                <c:manualLayout>
                  <c:x val="-1.6644138232720911E-2"/>
                  <c:y val="-6.492526387389403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E50-4E5F-9726-4FDFFEB8572A}"/>
                </c:ext>
              </c:extLst>
            </c:dLbl>
            <c:dLbl>
              <c:idx val="5"/>
              <c:layout>
                <c:manualLayout>
                  <c:x val="-5.545494313210747E-3"/>
                  <c:y val="-6.95636172584425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E50-4E5F-9726-4FDFFEB8572A}"/>
                </c:ext>
              </c:extLst>
            </c:dLbl>
            <c:dLbl>
              <c:idx val="6"/>
              <c:layout>
                <c:manualLayout>
                  <c:x val="2.7626859142607174E-3"/>
                  <c:y val="-6.9565077697165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5E50-4E5F-9726-4FDFFEB8572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extLst>
          </c:dLbls>
          <c:cat>
            <c:strRef>
              <c:f>Аналитика!$C$102:$C$108</c:f>
              <c:strCache>
                <c:ptCount val="7"/>
                <c:pt idx="0">
                  <c:v>2000 тенге</c:v>
                </c:pt>
                <c:pt idx="1">
                  <c:v>5000 тенге</c:v>
                </c:pt>
                <c:pt idx="2">
                  <c:v>10000 тенге</c:v>
                </c:pt>
                <c:pt idx="3">
                  <c:v>500 тенге</c:v>
                </c:pt>
                <c:pt idx="4">
                  <c:v>1000 тенге</c:v>
                </c:pt>
                <c:pt idx="5">
                  <c:v>200 тенге</c:v>
                </c:pt>
                <c:pt idx="6">
                  <c:v>Прочие*</c:v>
                </c:pt>
              </c:strCache>
            </c:strRef>
          </c:cat>
          <c:val>
            <c:numRef>
              <c:f>Аналитика!$D$102:$D$108</c:f>
              <c:numCache>
                <c:formatCode>General</c:formatCode>
                <c:ptCount val="7"/>
                <c:pt idx="0">
                  <c:v>340</c:v>
                </c:pt>
                <c:pt idx="1">
                  <c:v>94</c:v>
                </c:pt>
                <c:pt idx="2">
                  <c:v>36</c:v>
                </c:pt>
                <c:pt idx="3">
                  <c:v>23</c:v>
                </c:pt>
                <c:pt idx="4">
                  <c:v>15</c:v>
                </c:pt>
                <c:pt idx="5">
                  <c:v>3</c:v>
                </c:pt>
                <c:pt idx="6">
                  <c:v>8</c:v>
                </c:pt>
              </c:numCache>
            </c:numRef>
          </c:val>
          <c:extLst>
            <c:ext xmlns:c16="http://schemas.microsoft.com/office/drawing/2014/chart" uri="{C3380CC4-5D6E-409C-BE32-E72D297353CC}">
              <c16:uniqueId val="{0000000E-5E50-4E5F-9726-4FDFFEB8572A}"/>
            </c:ext>
          </c:extLst>
        </c:ser>
        <c:dLbls>
          <c:showLegendKey val="0"/>
          <c:showVal val="0"/>
          <c:showCatName val="0"/>
          <c:showSerName val="0"/>
          <c:showPercent val="0"/>
          <c:showBubbleSize val="0"/>
          <c:showLeaderLines val="0"/>
        </c:dLbls>
        <c:firstSliceAng val="0"/>
        <c:holeSize val="72"/>
      </c:doughnutChart>
      <c:spPr>
        <a:noFill/>
        <a:ln>
          <a:noFill/>
        </a:ln>
        <a:effectLst/>
      </c:spPr>
    </c:plotArea>
    <c:legend>
      <c:legendPos val="r"/>
      <c:layout>
        <c:manualLayout>
          <c:xMode val="edge"/>
          <c:yMode val="edge"/>
          <c:x val="0.71087984105487489"/>
          <c:y val="0.22608780752150748"/>
          <c:w val="0.26264712575667931"/>
          <c:h val="0.5478240197891740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004673157028229"/>
          <c:y val="0.11687654240002533"/>
          <c:w val="0.72549440434529022"/>
          <c:h val="0.72028401649449092"/>
        </c:manualLayout>
      </c:layout>
      <c:doughnutChart>
        <c:varyColors val="1"/>
        <c:ser>
          <c:idx val="0"/>
          <c:order val="0"/>
          <c:dPt>
            <c:idx val="0"/>
            <c:bubble3D val="0"/>
            <c:spPr>
              <a:solidFill>
                <a:schemeClr val="accent3">
                  <a:lumMod val="50000"/>
                </a:schemeClr>
              </a:solidFill>
              <a:ln w="19050">
                <a:solidFill>
                  <a:schemeClr val="lt1"/>
                </a:solidFill>
              </a:ln>
              <a:effectLst/>
            </c:spPr>
            <c:extLst>
              <c:ext xmlns:c16="http://schemas.microsoft.com/office/drawing/2014/chart" uri="{C3380CC4-5D6E-409C-BE32-E72D297353CC}">
                <c16:uniqueId val="{00000001-5813-442C-AB4F-C97144F5EC3D}"/>
              </c:ext>
            </c:extLst>
          </c:dPt>
          <c:dPt>
            <c:idx val="1"/>
            <c:bubble3D val="0"/>
            <c:spPr>
              <a:solidFill>
                <a:srgbClr val="FFC000"/>
              </a:solidFill>
              <a:ln w="19050">
                <a:solidFill>
                  <a:schemeClr val="lt1"/>
                </a:solidFill>
              </a:ln>
              <a:effectLst/>
            </c:spPr>
            <c:extLst>
              <c:ext xmlns:c16="http://schemas.microsoft.com/office/drawing/2014/chart" uri="{C3380CC4-5D6E-409C-BE32-E72D297353CC}">
                <c16:uniqueId val="{00000003-5813-442C-AB4F-C97144F5EC3D}"/>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5813-442C-AB4F-C97144F5EC3D}"/>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5813-442C-AB4F-C97144F5EC3D}"/>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5813-442C-AB4F-C97144F5EC3D}"/>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5813-442C-AB4F-C97144F5EC3D}"/>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5813-442C-AB4F-C97144F5EC3D}"/>
              </c:ext>
            </c:extLst>
          </c:dPt>
          <c:dLbls>
            <c:dLbl>
              <c:idx val="0"/>
              <c:layout>
                <c:manualLayout>
                  <c:x val="8.0495613723960066E-2"/>
                  <c:y val="5.34819567307173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813-442C-AB4F-C97144F5EC3D}"/>
                </c:ext>
              </c:extLst>
            </c:dLbl>
            <c:dLbl>
              <c:idx val="1"/>
              <c:layout>
                <c:manualLayout>
                  <c:x val="-8.0503180345700046E-2"/>
                  <c:y val="4.42387911387618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813-442C-AB4F-C97144F5EC3D}"/>
                </c:ext>
              </c:extLst>
            </c:dLbl>
            <c:dLbl>
              <c:idx val="2"/>
              <c:layout>
                <c:manualLayout>
                  <c:x val="-8.5628350510240273E-2"/>
                  <c:y val="-3.23833479148440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813-442C-AB4F-C97144F5EC3D}"/>
                </c:ext>
              </c:extLst>
            </c:dLbl>
            <c:dLbl>
              <c:idx val="3"/>
              <c:layout>
                <c:manualLayout>
                  <c:x val="-5.7807571350878412E-2"/>
                  <c:y val="-6.73708996252011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813-442C-AB4F-C97144F5EC3D}"/>
                </c:ext>
              </c:extLst>
            </c:dLbl>
            <c:dLbl>
              <c:idx val="4"/>
              <c:layout>
                <c:manualLayout>
                  <c:x val="-1.6644138232720911E-2"/>
                  <c:y val="-6.492526387389403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813-442C-AB4F-C97144F5EC3D}"/>
                </c:ext>
              </c:extLst>
            </c:dLbl>
            <c:dLbl>
              <c:idx val="5"/>
              <c:layout>
                <c:manualLayout>
                  <c:x val="1.2472630110425386E-2"/>
                  <c:y val="-6.95635267813745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813-442C-AB4F-C97144F5EC3D}"/>
                </c:ext>
              </c:extLst>
            </c:dLbl>
            <c:dLbl>
              <c:idx val="6"/>
              <c:layout>
                <c:manualLayout>
                  <c:x val="5.0810810810810701E-2"/>
                  <c:y val="-6.95652549604139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5813-442C-AB4F-C97144F5EC3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extLst>
          </c:dLbls>
          <c:cat>
            <c:strRef>
              <c:f>Аналитика!$C$102:$C$108</c:f>
              <c:strCache>
                <c:ptCount val="7"/>
                <c:pt idx="0">
                  <c:v>2000 тенге</c:v>
                </c:pt>
                <c:pt idx="1">
                  <c:v>5000 тенге</c:v>
                </c:pt>
                <c:pt idx="2">
                  <c:v>10000 тенге</c:v>
                </c:pt>
                <c:pt idx="3">
                  <c:v>500 тенге</c:v>
                </c:pt>
                <c:pt idx="4">
                  <c:v>1000 тенге</c:v>
                </c:pt>
                <c:pt idx="5">
                  <c:v>200 тенге</c:v>
                </c:pt>
                <c:pt idx="6">
                  <c:v>Прочие*</c:v>
                </c:pt>
              </c:strCache>
            </c:strRef>
          </c:cat>
          <c:val>
            <c:numRef>
              <c:f>Аналитика!$E$102:$E$108</c:f>
              <c:numCache>
                <c:formatCode>General</c:formatCode>
                <c:ptCount val="7"/>
                <c:pt idx="0">
                  <c:v>238</c:v>
                </c:pt>
                <c:pt idx="1">
                  <c:v>31</c:v>
                </c:pt>
                <c:pt idx="2">
                  <c:v>55</c:v>
                </c:pt>
                <c:pt idx="3">
                  <c:v>50</c:v>
                </c:pt>
                <c:pt idx="4">
                  <c:v>11</c:v>
                </c:pt>
                <c:pt idx="5">
                  <c:v>0</c:v>
                </c:pt>
                <c:pt idx="6">
                  <c:v>6</c:v>
                </c:pt>
              </c:numCache>
            </c:numRef>
          </c:val>
          <c:extLst>
            <c:ext xmlns:c16="http://schemas.microsoft.com/office/drawing/2014/chart" uri="{C3380CC4-5D6E-409C-BE32-E72D297353CC}">
              <c16:uniqueId val="{0000000E-5813-442C-AB4F-C97144F5EC3D}"/>
            </c:ext>
          </c:extLst>
        </c:ser>
        <c:dLbls>
          <c:showLegendKey val="0"/>
          <c:showVal val="0"/>
          <c:showCatName val="0"/>
          <c:showSerName val="0"/>
          <c:showPercent val="0"/>
          <c:showBubbleSize val="0"/>
          <c:showLeaderLines val="0"/>
        </c:dLbls>
        <c:firstSliceAng val="0"/>
        <c:holeSize val="72"/>
      </c:doughnut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0210341541702192"/>
          <c:y val="9.8614548181477316E-2"/>
          <c:w val="0.82702909011373649"/>
          <c:h val="0.89797103312180215"/>
        </c:manualLayout>
      </c:layout>
      <c:pie3DChart>
        <c:varyColors val="1"/>
        <c:ser>
          <c:idx val="0"/>
          <c:order val="0"/>
          <c:explosion val="25"/>
          <c:dPt>
            <c:idx val="0"/>
            <c:bubble3D val="0"/>
            <c:explosion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A6F5-4BCC-B5AB-ACC49989027F}"/>
              </c:ext>
            </c:extLst>
          </c:dPt>
          <c:dPt>
            <c:idx val="1"/>
            <c:bubble3D val="0"/>
            <c:explosion val="17"/>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A6F5-4BCC-B5AB-ACC49989027F}"/>
              </c:ext>
            </c:extLst>
          </c:dPt>
          <c:dPt>
            <c:idx val="2"/>
            <c:bubble3D val="0"/>
            <c:explosion val="13"/>
            <c:spPr>
              <a:solidFill>
                <a:srgbClr val="00B05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A6F5-4BCC-B5AB-ACC49989027F}"/>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A6F5-4BCC-B5AB-ACC49989027F}"/>
              </c:ext>
            </c:extLst>
          </c:dPt>
          <c:dLbls>
            <c:dLbl>
              <c:idx val="0"/>
              <c:layout>
                <c:manualLayout>
                  <c:x val="-1.1652507495759752E-2"/>
                  <c:y val="8.0677827636189234E-2"/>
                </c:manualLayout>
              </c:layout>
              <c:tx>
                <c:rich>
                  <a:bodyPr rot="0" spcFirstLastPara="1" vertOverflow="ellipsis" vert="horz" wrap="square" lIns="38100" tIns="19050" rIns="38100" bIns="19050" anchor="ctr" anchorCtr="1">
                    <a:spAutoFit/>
                  </a:bodyPr>
                  <a:lstStyle/>
                  <a:p>
                    <a:pPr>
                      <a:defRPr sz="1050" b="1" i="0" u="none" strike="noStrike" kern="1200" spc="0" baseline="0">
                        <a:solidFill>
                          <a:schemeClr val="accent1"/>
                        </a:solidFill>
                        <a:latin typeface="Palatino Linotype" panose="02040502050505030304" pitchFamily="18" charset="0"/>
                        <a:ea typeface="+mn-ea"/>
                        <a:cs typeface="+mn-cs"/>
                      </a:defRPr>
                    </a:pPr>
                    <a:fld id="{953B76AE-269C-4905-B159-384E67D6EB44}" type="CATEGORYNAME">
                      <a:rPr lang="en-US" sz="1050">
                        <a:latin typeface="Palatino Linotype" panose="02040502050505030304" pitchFamily="18" charset="0"/>
                      </a:rPr>
                      <a:pPr>
                        <a:defRPr sz="1050">
                          <a:latin typeface="Palatino Linotype" panose="02040502050505030304" pitchFamily="18" charset="0"/>
                        </a:defRPr>
                      </a:pPr>
                      <a:t>[ИМЯ КАТЕГОРИИ]</a:t>
                    </a:fld>
                    <a:r>
                      <a:rPr lang="en-US" sz="1050" baseline="0">
                        <a:latin typeface="Palatino Linotype" panose="02040502050505030304" pitchFamily="18" charset="0"/>
                      </a:rPr>
                      <a:t>; </a:t>
                    </a:r>
                    <a:fld id="{7343470C-98D6-4338-9DE4-0044AF6CF2E1}" type="VALUE">
                      <a:rPr lang="en-US" sz="1050" baseline="0">
                        <a:latin typeface="Palatino Linotype" panose="02040502050505030304" pitchFamily="18" charset="0"/>
                      </a:rPr>
                      <a:pPr>
                        <a:defRPr sz="1050">
                          <a:latin typeface="Palatino Linotype" panose="02040502050505030304" pitchFamily="18" charset="0"/>
                        </a:defRPr>
                      </a:pPr>
                      <a:t>[ЗНАЧЕНИЕ]</a:t>
                    </a:fld>
                    <a:endParaRPr lang="en-US" sz="1050" baseline="0">
                      <a:latin typeface="Palatino Linotype" panose="02040502050505030304" pitchFamily="18" charset="0"/>
                    </a:endParaRPr>
                  </a:p>
                </c:rich>
              </c:tx>
              <c:spPr>
                <a:noFill/>
                <a:ln>
                  <a:noFill/>
                </a:ln>
                <a:effectLst/>
              </c:spPr>
              <c:txPr>
                <a:bodyPr rot="0" spcFirstLastPara="1" vertOverflow="ellipsis" vert="horz" wrap="square" lIns="38100" tIns="19050" rIns="38100" bIns="19050" anchor="ctr" anchorCtr="1">
                  <a:spAutoFit/>
                </a:bodyPr>
                <a:lstStyle/>
                <a:p>
                  <a:pPr>
                    <a:defRPr sz="1050" b="1" i="0" u="none" strike="noStrike" kern="1200" spc="0" baseline="0">
                      <a:solidFill>
                        <a:schemeClr val="accent1"/>
                      </a:solidFill>
                      <a:latin typeface="Palatino Linotype" panose="02040502050505030304" pitchFamily="18" charset="0"/>
                      <a:ea typeface="+mn-ea"/>
                      <a:cs typeface="+mn-cs"/>
                    </a:defRPr>
                  </a:pPr>
                  <a:endParaRPr lang="ru-RU"/>
                </a:p>
              </c:txPr>
              <c:dLblPos val="bestFit"/>
              <c:showLegendKey val="0"/>
              <c:showVal val="1"/>
              <c:showCatName val="1"/>
              <c:showSerName val="0"/>
              <c:showPercent val="1"/>
              <c:showBubbleSize val="0"/>
              <c:extLst>
                <c:ext xmlns:c15="http://schemas.microsoft.com/office/drawing/2012/chart" uri="{CE6537A1-D6FC-4f65-9D91-7224C49458BB}">
                  <c15:layout>
                    <c:manualLayout>
                      <c:w val="0.27780126849894288"/>
                      <c:h val="0.15784437169478721"/>
                    </c:manualLayout>
                  </c15:layout>
                  <c15:dlblFieldTable/>
                  <c15:showDataLabelsRange val="0"/>
                </c:ext>
                <c:ext xmlns:c16="http://schemas.microsoft.com/office/drawing/2014/chart" uri="{C3380CC4-5D6E-409C-BE32-E72D297353CC}">
                  <c16:uniqueId val="{00000001-A6F5-4BCC-B5AB-ACC49989027F}"/>
                </c:ext>
              </c:extLst>
            </c:dLbl>
            <c:dLbl>
              <c:idx val="1"/>
              <c:layout>
                <c:manualLayout>
                  <c:x val="-1.2738853503184714E-2"/>
                  <c:y val="-1.9047619047619049E-2"/>
                </c:manualLayout>
              </c:layout>
              <c:tx>
                <c:rich>
                  <a:bodyPr rot="0" spcFirstLastPara="1" vertOverflow="ellipsis" vert="horz" wrap="square" lIns="38100" tIns="19050" rIns="38100" bIns="19050" anchor="ctr" anchorCtr="1">
                    <a:spAutoFit/>
                  </a:bodyPr>
                  <a:lstStyle/>
                  <a:p>
                    <a:pPr>
                      <a:defRPr sz="1050" b="1" i="0" u="none" strike="noStrike" kern="1200" spc="0" baseline="0">
                        <a:solidFill>
                          <a:schemeClr val="accent1"/>
                        </a:solidFill>
                        <a:latin typeface="Palatino Linotype" panose="02040502050505030304" pitchFamily="18" charset="0"/>
                        <a:ea typeface="+mn-ea"/>
                        <a:cs typeface="+mn-cs"/>
                      </a:defRPr>
                    </a:pPr>
                    <a:fld id="{AEA2B2E2-9525-45B6-9B14-F1E005D19DAC}" type="CATEGORYNAME">
                      <a:rPr lang="en-US" sz="1050">
                        <a:latin typeface="Palatino Linotype" panose="02040502050505030304" pitchFamily="18" charset="0"/>
                      </a:rPr>
                      <a:pPr>
                        <a:defRPr sz="1050">
                          <a:solidFill>
                            <a:schemeClr val="accent1"/>
                          </a:solidFill>
                          <a:latin typeface="Palatino Linotype" panose="02040502050505030304" pitchFamily="18" charset="0"/>
                        </a:defRPr>
                      </a:pPr>
                      <a:t>[ИМЯ КАТЕГОРИИ]</a:t>
                    </a:fld>
                    <a:r>
                      <a:rPr lang="en-US" sz="1050" baseline="0">
                        <a:latin typeface="Palatino Linotype" panose="02040502050505030304" pitchFamily="18" charset="0"/>
                      </a:rPr>
                      <a:t>; </a:t>
                    </a:r>
                    <a:fld id="{6C3B7E02-2A67-4776-92E9-049AE643126D}" type="VALUE">
                      <a:rPr lang="en-US" sz="1050" baseline="0">
                        <a:latin typeface="Palatino Linotype" panose="02040502050505030304" pitchFamily="18" charset="0"/>
                      </a:rPr>
                      <a:pPr>
                        <a:defRPr sz="1050">
                          <a:solidFill>
                            <a:schemeClr val="accent1"/>
                          </a:solidFill>
                          <a:latin typeface="Palatino Linotype" panose="02040502050505030304" pitchFamily="18" charset="0"/>
                        </a:defRPr>
                      </a:pPr>
                      <a:t>[ЗНАЧЕНИЕ]</a:t>
                    </a:fld>
                    <a:endParaRPr lang="en-US" sz="1050" baseline="0">
                      <a:latin typeface="Palatino Linotype" panose="02040502050505030304" pitchFamily="18" charset="0"/>
                    </a:endParaRPr>
                  </a:p>
                </c:rich>
              </c:tx>
              <c:spPr>
                <a:noFill/>
                <a:ln>
                  <a:noFill/>
                </a:ln>
                <a:effectLst/>
              </c:spPr>
              <c:txPr>
                <a:bodyPr rot="0" spcFirstLastPara="1" vertOverflow="ellipsis" vert="horz" wrap="square" lIns="38100" tIns="19050" rIns="38100" bIns="19050" anchor="ctr" anchorCtr="1">
                  <a:spAutoFit/>
                </a:bodyPr>
                <a:lstStyle/>
                <a:p>
                  <a:pPr>
                    <a:defRPr sz="1050" b="1" i="0" u="none" strike="noStrike" kern="1200" spc="0" baseline="0">
                      <a:solidFill>
                        <a:schemeClr val="accent1"/>
                      </a:solidFill>
                      <a:latin typeface="Palatino Linotype" panose="02040502050505030304" pitchFamily="18" charset="0"/>
                      <a:ea typeface="+mn-ea"/>
                      <a:cs typeface="+mn-cs"/>
                    </a:defRPr>
                  </a:pPr>
                  <a:endParaRPr lang="ru-RU"/>
                </a:p>
              </c:txPr>
              <c:dLblPos val="bestFit"/>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A6F5-4BCC-B5AB-ACC49989027F}"/>
                </c:ext>
              </c:extLst>
            </c:dLbl>
            <c:dLbl>
              <c:idx val="2"/>
              <c:layout>
                <c:manualLayout>
                  <c:x val="-1.2738853503184714E-2"/>
                  <c:y val="-4.2857142857142858E-2"/>
                </c:manualLayout>
              </c:layout>
              <c:tx>
                <c:rich>
                  <a:bodyPr rot="0" spcFirstLastPara="1" vertOverflow="ellipsis" vert="horz" wrap="square" lIns="38100" tIns="19050" rIns="38100" bIns="19050" anchor="ctr" anchorCtr="1">
                    <a:spAutoFit/>
                  </a:bodyPr>
                  <a:lstStyle/>
                  <a:p>
                    <a:pPr>
                      <a:defRPr sz="1050" b="1" i="0" u="none" strike="noStrike" kern="1200" spc="0" baseline="0">
                        <a:solidFill>
                          <a:schemeClr val="accent1"/>
                        </a:solidFill>
                        <a:latin typeface="Palatino Linotype" panose="02040502050505030304" pitchFamily="18" charset="0"/>
                        <a:ea typeface="+mn-ea"/>
                        <a:cs typeface="+mn-cs"/>
                      </a:defRPr>
                    </a:pPr>
                    <a:fld id="{B8549ED6-B1D5-4BDF-BE8B-8EDF0FE52C0E}" type="CATEGORYNAME">
                      <a:rPr lang="en-US" sz="1050">
                        <a:solidFill>
                          <a:srgbClr val="00B050"/>
                        </a:solidFill>
                        <a:latin typeface="Palatino Linotype" panose="02040502050505030304" pitchFamily="18" charset="0"/>
                      </a:rPr>
                      <a:pPr>
                        <a:defRPr sz="1050">
                          <a:solidFill>
                            <a:schemeClr val="accent1"/>
                          </a:solidFill>
                          <a:latin typeface="Palatino Linotype" panose="02040502050505030304" pitchFamily="18" charset="0"/>
                        </a:defRPr>
                      </a:pPr>
                      <a:t>[ИМЯ КАТЕГОРИИ]</a:t>
                    </a:fld>
                    <a:r>
                      <a:rPr lang="en-US" sz="1050" baseline="0">
                        <a:solidFill>
                          <a:srgbClr val="00B050"/>
                        </a:solidFill>
                        <a:latin typeface="Palatino Linotype" panose="02040502050505030304" pitchFamily="18" charset="0"/>
                      </a:rPr>
                      <a:t>; </a:t>
                    </a:r>
                    <a:fld id="{0EF505EE-94CA-49B4-B279-6262A8AA1819}" type="VALUE">
                      <a:rPr lang="en-US" sz="1050" baseline="0">
                        <a:solidFill>
                          <a:srgbClr val="00B050"/>
                        </a:solidFill>
                        <a:latin typeface="Palatino Linotype" panose="02040502050505030304" pitchFamily="18" charset="0"/>
                      </a:rPr>
                      <a:pPr>
                        <a:defRPr sz="1050">
                          <a:solidFill>
                            <a:schemeClr val="accent1"/>
                          </a:solidFill>
                          <a:latin typeface="Palatino Linotype" panose="02040502050505030304" pitchFamily="18" charset="0"/>
                        </a:defRPr>
                      </a:pPr>
                      <a:t>[ЗНАЧЕНИЕ]</a:t>
                    </a:fld>
                    <a:endParaRPr lang="en-US" sz="1050" baseline="0">
                      <a:solidFill>
                        <a:srgbClr val="00B050"/>
                      </a:solidFill>
                      <a:latin typeface="Palatino Linotype" panose="02040502050505030304" pitchFamily="18" charset="0"/>
                    </a:endParaRPr>
                  </a:p>
                </c:rich>
              </c:tx>
              <c:spPr>
                <a:noFill/>
                <a:ln>
                  <a:noFill/>
                </a:ln>
                <a:effectLst/>
              </c:spPr>
              <c:txPr>
                <a:bodyPr rot="0" spcFirstLastPara="1" vertOverflow="ellipsis" vert="horz" wrap="square" lIns="38100" tIns="19050" rIns="38100" bIns="19050" anchor="ctr" anchorCtr="1">
                  <a:spAutoFit/>
                </a:bodyPr>
                <a:lstStyle/>
                <a:p>
                  <a:pPr>
                    <a:defRPr sz="1050" b="1" i="0" u="none" strike="noStrike" kern="1200" spc="0" baseline="0">
                      <a:solidFill>
                        <a:schemeClr val="accent1"/>
                      </a:solidFill>
                      <a:latin typeface="Palatino Linotype" panose="02040502050505030304" pitchFamily="18" charset="0"/>
                      <a:ea typeface="+mn-ea"/>
                      <a:cs typeface="+mn-cs"/>
                    </a:defRPr>
                  </a:pPr>
                  <a:endParaRPr lang="ru-RU"/>
                </a:p>
              </c:txPr>
              <c:dLblPos val="bestFit"/>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A6F5-4BCC-B5AB-ACC49989027F}"/>
                </c:ext>
              </c:extLst>
            </c:dLbl>
            <c:dLbl>
              <c:idx val="3"/>
              <c:layout>
                <c:manualLayout>
                  <c:x val="0.19108296972432579"/>
                  <c:y val="-7.1428571428571426E-3"/>
                </c:manualLayout>
              </c:layout>
              <c:tx>
                <c:rich>
                  <a:bodyPr rot="0" spcFirstLastPara="1" vertOverflow="ellipsis" vert="horz" wrap="square" lIns="38100" tIns="19050" rIns="38100" bIns="19050" anchor="ctr" anchorCtr="1">
                    <a:noAutofit/>
                  </a:bodyPr>
                  <a:lstStyle/>
                  <a:p>
                    <a:pPr>
                      <a:defRPr sz="1050" b="1" i="0" u="none" strike="noStrike" kern="1200" spc="0" baseline="0">
                        <a:solidFill>
                          <a:schemeClr val="accent1"/>
                        </a:solidFill>
                        <a:latin typeface="Palatino Linotype" panose="02040502050505030304" pitchFamily="18" charset="0"/>
                        <a:ea typeface="+mn-ea"/>
                        <a:cs typeface="+mn-cs"/>
                      </a:defRPr>
                    </a:pPr>
                    <a:fld id="{01631FF1-9DB4-4AC7-B4BD-76E91234579E}" type="CATEGORYNAME">
                      <a:rPr lang="en-US" sz="1050">
                        <a:latin typeface="Palatino Linotype" panose="02040502050505030304" pitchFamily="18" charset="0"/>
                      </a:rPr>
                      <a:pPr>
                        <a:defRPr sz="1050">
                          <a:solidFill>
                            <a:schemeClr val="accent1"/>
                          </a:solidFill>
                          <a:latin typeface="Palatino Linotype" panose="02040502050505030304" pitchFamily="18" charset="0"/>
                        </a:defRPr>
                      </a:pPr>
                      <a:t>[ИМЯ КАТЕГОРИИ]</a:t>
                    </a:fld>
                    <a:r>
                      <a:rPr lang="en-US" sz="1050" baseline="0">
                        <a:latin typeface="Palatino Linotype" panose="02040502050505030304" pitchFamily="18" charset="0"/>
                      </a:rPr>
                      <a:t>; </a:t>
                    </a:r>
                    <a:fld id="{E45F7D46-4AFB-4020-9C1D-C4FDB3E0A092}" type="VALUE">
                      <a:rPr lang="en-US" sz="1050" baseline="0">
                        <a:latin typeface="Palatino Linotype" panose="02040502050505030304" pitchFamily="18" charset="0"/>
                      </a:rPr>
                      <a:pPr>
                        <a:defRPr sz="1050">
                          <a:solidFill>
                            <a:schemeClr val="accent1"/>
                          </a:solidFill>
                          <a:latin typeface="Palatino Linotype" panose="02040502050505030304" pitchFamily="18" charset="0"/>
                        </a:defRPr>
                      </a:pPr>
                      <a:t>[ЗНАЧЕНИЕ]</a:t>
                    </a:fld>
                    <a:endParaRPr lang="en-US" sz="1050" baseline="0">
                      <a:latin typeface="Palatino Linotype" panose="02040502050505030304" pitchFamily="18" charset="0"/>
                    </a:endParaRPr>
                  </a:p>
                </c:rich>
              </c:tx>
              <c:spPr>
                <a:noFill/>
                <a:ln>
                  <a:noFill/>
                </a:ln>
                <a:effectLst/>
              </c:spPr>
              <c:txPr>
                <a:bodyPr rot="0" spcFirstLastPara="1" vertOverflow="ellipsis" vert="horz" wrap="square" lIns="38100" tIns="19050" rIns="38100" bIns="19050" anchor="ctr" anchorCtr="1">
                  <a:noAutofit/>
                </a:bodyPr>
                <a:lstStyle/>
                <a:p>
                  <a:pPr>
                    <a:defRPr sz="1050" b="1" i="0" u="none" strike="noStrike" kern="1200" spc="0" baseline="0">
                      <a:solidFill>
                        <a:schemeClr val="accent1"/>
                      </a:solidFill>
                      <a:latin typeface="Palatino Linotype" panose="02040502050505030304" pitchFamily="18" charset="0"/>
                      <a:ea typeface="+mn-ea"/>
                      <a:cs typeface="+mn-cs"/>
                    </a:defRPr>
                  </a:pPr>
                  <a:endParaRPr lang="ru-RU"/>
                </a:p>
              </c:txPr>
              <c:dLblPos val="bestFit"/>
              <c:showLegendKey val="0"/>
              <c:showVal val="1"/>
              <c:showCatName val="1"/>
              <c:showSerName val="0"/>
              <c:showPercent val="1"/>
              <c:showBubbleSize val="0"/>
              <c:extLst>
                <c:ext xmlns:c15="http://schemas.microsoft.com/office/drawing/2012/chart" uri="{CE6537A1-D6FC-4f65-9D91-7224C49458BB}">
                  <c15:layout>
                    <c:manualLayout>
                      <c:w val="0.22673052811073771"/>
                      <c:h val="0.10638095238095238"/>
                    </c:manualLayout>
                  </c15:layout>
                  <c15:dlblFieldTable/>
                  <c15:showDataLabelsRange val="0"/>
                </c:ext>
                <c:ext xmlns:c16="http://schemas.microsoft.com/office/drawing/2014/chart" uri="{C3380CC4-5D6E-409C-BE32-E72D297353CC}">
                  <c16:uniqueId val="{00000007-A6F5-4BCC-B5AB-ACC49989027F}"/>
                </c:ext>
              </c:extLst>
            </c:dLbl>
            <c:spPr>
              <a:noFill/>
              <a:ln>
                <a:noFill/>
              </a:ln>
              <a:effectLst/>
            </c:spPr>
            <c:txPr>
              <a:bodyPr rot="0" spcFirstLastPara="1" vertOverflow="ellipsis" vert="horz" wrap="square" lIns="38100" tIns="19050" rIns="38100" bIns="19050" anchor="ctr" anchorCtr="1">
                <a:spAutoFit/>
              </a:bodyPr>
              <a:lstStyle/>
              <a:p>
                <a:pPr>
                  <a:defRPr sz="1050" b="1" i="0" u="none" strike="noStrike" kern="1200" spc="0" baseline="0">
                    <a:solidFill>
                      <a:schemeClr val="accent1"/>
                    </a:solidFill>
                    <a:latin typeface="Palatino Linotype" panose="02040502050505030304" pitchFamily="18" charset="0"/>
                    <a:ea typeface="+mn-ea"/>
                    <a:cs typeface="+mn-cs"/>
                  </a:defRPr>
                </a:pPr>
                <a:endParaRPr lang="ru-RU"/>
              </a:p>
            </c:txPr>
            <c:dLblPos val="outEnd"/>
            <c:showLegendKey val="0"/>
            <c:showVal val="1"/>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Лист1!$Q$10:$Q$13</c:f>
              <c:strCache>
                <c:ptCount val="4"/>
                <c:pt idx="0">
                  <c:v>TJS</c:v>
                </c:pt>
                <c:pt idx="1">
                  <c:v>RUB</c:v>
                </c:pt>
                <c:pt idx="2">
                  <c:v>USD</c:v>
                </c:pt>
                <c:pt idx="3">
                  <c:v>EURO</c:v>
                </c:pt>
              </c:strCache>
            </c:strRef>
          </c:cat>
          <c:val>
            <c:numRef>
              <c:f>Лист1!$R$10:$R$13</c:f>
              <c:numCache>
                <c:formatCode>General</c:formatCode>
                <c:ptCount val="4"/>
                <c:pt idx="0">
                  <c:v>113</c:v>
                </c:pt>
                <c:pt idx="1">
                  <c:v>5</c:v>
                </c:pt>
                <c:pt idx="2">
                  <c:v>24</c:v>
                </c:pt>
                <c:pt idx="3">
                  <c:v>2</c:v>
                </c:pt>
              </c:numCache>
            </c:numRef>
          </c:val>
          <c:extLst>
            <c:ext xmlns:c16="http://schemas.microsoft.com/office/drawing/2014/chart" uri="{C3380CC4-5D6E-409C-BE32-E72D297353CC}">
              <c16:uniqueId val="{00000008-A6F5-4BCC-B5AB-ACC49989027F}"/>
            </c:ext>
          </c:extLst>
        </c:ser>
        <c:dLbls>
          <c:dLblPos val="outEnd"/>
          <c:showLegendKey val="0"/>
          <c:showVal val="0"/>
          <c:showCatName val="0"/>
          <c:showSerName val="0"/>
          <c:showPercent val="1"/>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userShapes r:id="rId4"/>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9891724598696487E-2"/>
          <c:y val="0.16769874886440786"/>
          <c:w val="0.83955189700807131"/>
          <c:h val="0.82117745598063152"/>
        </c:manualLayout>
      </c:layout>
      <c:pie3DChart>
        <c:varyColors val="1"/>
        <c:ser>
          <c:idx val="0"/>
          <c:order val="0"/>
          <c:explosion val="4"/>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3E2D-4C84-8A62-8C4F5EBECF3E}"/>
              </c:ext>
            </c:extLst>
          </c:dPt>
          <c:dPt>
            <c:idx val="1"/>
            <c:bubble3D val="0"/>
            <c:explosion val="18"/>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3E2D-4C84-8A62-8C4F5EBECF3E}"/>
              </c:ext>
            </c:extLst>
          </c:dPt>
          <c:dPt>
            <c:idx val="2"/>
            <c:bubble3D val="0"/>
            <c:spPr>
              <a:solidFill>
                <a:srgbClr val="00B05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3E2D-4C84-8A62-8C4F5EBECF3E}"/>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3E2D-4C84-8A62-8C4F5EBECF3E}"/>
              </c:ext>
            </c:extLst>
          </c:dPt>
          <c:dLbls>
            <c:dLbl>
              <c:idx val="0"/>
              <c:layout>
                <c:manualLayout>
                  <c:x val="-0.23788286801199809"/>
                  <c:y val="0.11036157290121276"/>
                </c:manualLayout>
              </c:layout>
              <c:spPr>
                <a:noFill/>
                <a:ln>
                  <a:noFill/>
                </a:ln>
                <a:effectLst/>
              </c:spPr>
              <c:txPr>
                <a:bodyPr rot="0" spcFirstLastPara="1" vertOverflow="ellipsis" vert="horz" wrap="square" anchor="ctr" anchorCtr="1"/>
                <a:lstStyle/>
                <a:p>
                  <a:pPr>
                    <a:defRPr sz="1050" b="1" i="0" u="none" strike="noStrike" kern="1200" spc="0" baseline="0">
                      <a:ln>
                        <a:noFill/>
                      </a:ln>
                      <a:solidFill>
                        <a:schemeClr val="accent1"/>
                      </a:solidFill>
                      <a:latin typeface="Palatino Linotype" panose="02040502050505030304" pitchFamily="18" charset="0"/>
                      <a:ea typeface="+mn-ea"/>
                      <a:cs typeface="+mn-cs"/>
                    </a:defRPr>
                  </a:pPr>
                  <a:endParaRPr lang="ru-RU"/>
                </a:p>
              </c:txPr>
              <c:dLblPos val="bestFit"/>
              <c:showLegendKey val="0"/>
              <c:showVal val="1"/>
              <c:showCatName val="1"/>
              <c:showSerName val="0"/>
              <c:showPercent val="0"/>
              <c:showBubbleSize val="0"/>
              <c:extLst>
                <c:ext xmlns:c15="http://schemas.microsoft.com/office/drawing/2012/chart" uri="{CE6537A1-D6FC-4f65-9D91-7224C49458BB}">
                  <c15:layout>
                    <c:manualLayout>
                      <c:w val="0.30740656098726449"/>
                      <c:h val="0.15270449778377751"/>
                    </c:manualLayout>
                  </c15:layout>
                </c:ext>
                <c:ext xmlns:c16="http://schemas.microsoft.com/office/drawing/2014/chart" uri="{C3380CC4-5D6E-409C-BE32-E72D297353CC}">
                  <c16:uniqueId val="{00000001-3E2D-4C84-8A62-8C4F5EBECF3E}"/>
                </c:ext>
              </c:extLst>
            </c:dLbl>
            <c:dLbl>
              <c:idx val="1"/>
              <c:layout>
                <c:manualLayout>
                  <c:x val="1.6933367200067734E-7"/>
                  <c:y val="-8.8578088578088576E-2"/>
                </c:manualLayout>
              </c:layout>
              <c:spPr>
                <a:noFill/>
                <a:ln>
                  <a:noFill/>
                </a:ln>
                <a:effectLst/>
              </c:spPr>
              <c:txPr>
                <a:bodyPr rot="0" spcFirstLastPara="1" vertOverflow="ellipsis" vert="horz" wrap="square" anchor="ctr" anchorCtr="1"/>
                <a:lstStyle/>
                <a:p>
                  <a:pPr>
                    <a:defRPr sz="1050" b="1" i="0" u="none" strike="noStrike" kern="1200" spc="0" baseline="0">
                      <a:ln>
                        <a:noFill/>
                      </a:ln>
                      <a:solidFill>
                        <a:schemeClr val="accent2"/>
                      </a:solidFill>
                      <a:latin typeface="Palatino Linotype" panose="02040502050505030304" pitchFamily="18" charset="0"/>
                      <a:ea typeface="+mn-ea"/>
                      <a:cs typeface="+mn-cs"/>
                    </a:defRPr>
                  </a:pPr>
                  <a:endParaRPr lang="ru-RU"/>
                </a:p>
              </c:txPr>
              <c:dLblPos val="bestFit"/>
              <c:showLegendKey val="0"/>
              <c:showVal val="1"/>
              <c:showCatName val="1"/>
              <c:showSerName val="0"/>
              <c:showPercent val="0"/>
              <c:showBubbleSize val="0"/>
              <c:extLst>
                <c:ext xmlns:c15="http://schemas.microsoft.com/office/drawing/2012/chart" uri="{CE6537A1-D6FC-4f65-9D91-7224C49458BB}">
                  <c15:layout>
                    <c:manualLayout>
                      <c:w val="0.27752671238675808"/>
                      <c:h val="0.12778554778554779"/>
                    </c:manualLayout>
                  </c15:layout>
                </c:ext>
                <c:ext xmlns:c16="http://schemas.microsoft.com/office/drawing/2014/chart" uri="{C3380CC4-5D6E-409C-BE32-E72D297353CC}">
                  <c16:uniqueId val="{00000003-3E2D-4C84-8A62-8C4F5EBECF3E}"/>
                </c:ext>
              </c:extLst>
            </c:dLbl>
            <c:dLbl>
              <c:idx val="2"/>
              <c:layout>
                <c:manualLayout>
                  <c:x val="6.8817204301075269E-2"/>
                  <c:y val="-8.3916083916083892E-2"/>
                </c:manualLayout>
              </c:layout>
              <c:tx>
                <c:rich>
                  <a:bodyPr rot="0" spcFirstLastPara="1" vertOverflow="ellipsis" vert="horz" wrap="square" anchor="ctr" anchorCtr="1"/>
                  <a:lstStyle/>
                  <a:p>
                    <a:pPr>
                      <a:defRPr sz="1050" b="1" i="0" u="none" strike="noStrike" kern="1200" spc="0" baseline="0">
                        <a:ln>
                          <a:noFill/>
                        </a:ln>
                        <a:solidFill>
                          <a:schemeClr val="accent1"/>
                        </a:solidFill>
                        <a:latin typeface="Palatino Linotype" panose="02040502050505030304" pitchFamily="18" charset="0"/>
                        <a:ea typeface="+mn-ea"/>
                        <a:cs typeface="+mn-cs"/>
                      </a:defRPr>
                    </a:pPr>
                    <a:fld id="{C7C7B072-2C50-42C0-8BCC-41770DFB600E}" type="CATEGORYNAME">
                      <a:rPr lang="en-US" sz="1050">
                        <a:solidFill>
                          <a:srgbClr val="00B050"/>
                        </a:solidFill>
                        <a:latin typeface="Palatino Linotype" panose="02040502050505030304" pitchFamily="18" charset="0"/>
                      </a:rPr>
                      <a:pPr>
                        <a:defRPr sz="1050">
                          <a:solidFill>
                            <a:schemeClr val="accent1"/>
                          </a:solidFill>
                          <a:latin typeface="Palatino Linotype" panose="02040502050505030304" pitchFamily="18" charset="0"/>
                        </a:defRPr>
                      </a:pPr>
                      <a:t>[ИМЯ КАТЕГОРИИ]</a:t>
                    </a:fld>
                    <a:r>
                      <a:rPr lang="en-US" sz="1050" baseline="0">
                        <a:solidFill>
                          <a:srgbClr val="00B050"/>
                        </a:solidFill>
                        <a:latin typeface="Palatino Linotype" panose="02040502050505030304" pitchFamily="18" charset="0"/>
                      </a:rPr>
                      <a:t>; </a:t>
                    </a:r>
                    <a:fld id="{A152773C-B5B4-449B-BA37-D0BE068A6A23}" type="VALUE">
                      <a:rPr lang="en-US" sz="1050" baseline="0">
                        <a:solidFill>
                          <a:srgbClr val="00B050"/>
                        </a:solidFill>
                        <a:latin typeface="Palatino Linotype" panose="02040502050505030304" pitchFamily="18" charset="0"/>
                      </a:rPr>
                      <a:pPr>
                        <a:defRPr sz="1050">
                          <a:solidFill>
                            <a:schemeClr val="accent1"/>
                          </a:solidFill>
                          <a:latin typeface="Palatino Linotype" panose="02040502050505030304" pitchFamily="18" charset="0"/>
                        </a:defRPr>
                      </a:pPr>
                      <a:t>[ЗНАЧЕНИЕ]</a:t>
                    </a:fld>
                    <a:endParaRPr lang="en-US" sz="1050" baseline="0">
                      <a:solidFill>
                        <a:srgbClr val="00B050"/>
                      </a:solidFill>
                      <a:latin typeface="Palatino Linotype" panose="02040502050505030304" pitchFamily="18" charset="0"/>
                    </a:endParaRPr>
                  </a:p>
                </c:rich>
              </c:tx>
              <c:spPr>
                <a:noFill/>
                <a:ln>
                  <a:noFill/>
                </a:ln>
                <a:effectLst/>
              </c:spPr>
              <c:txPr>
                <a:bodyPr rot="0" spcFirstLastPara="1" vertOverflow="ellipsis" vert="horz" wrap="square" anchor="ctr" anchorCtr="1"/>
                <a:lstStyle/>
                <a:p>
                  <a:pPr>
                    <a:defRPr sz="1050" b="1" i="0" u="none" strike="noStrike" kern="1200" spc="0" baseline="0">
                      <a:ln>
                        <a:noFill/>
                      </a:ln>
                      <a:solidFill>
                        <a:schemeClr val="accent1"/>
                      </a:solidFill>
                      <a:latin typeface="Palatino Linotype" panose="02040502050505030304" pitchFamily="18" charset="0"/>
                      <a:ea typeface="+mn-ea"/>
                      <a:cs typeface="+mn-cs"/>
                    </a:defRPr>
                  </a:pPr>
                  <a:endParaRPr lang="ru-RU"/>
                </a:p>
              </c:txPr>
              <c:dLblPos val="bestFit"/>
              <c:showLegendKey val="0"/>
              <c:showVal val="1"/>
              <c:showCatName val="1"/>
              <c:showSerName val="0"/>
              <c:showPercent val="0"/>
              <c:showBubbleSize val="0"/>
              <c:extLst>
                <c:ext xmlns:c15="http://schemas.microsoft.com/office/drawing/2012/chart" uri="{CE6537A1-D6FC-4f65-9D91-7224C49458BB}">
                  <c15:layout>
                    <c:manualLayout>
                      <c:w val="0.27991397849462368"/>
                      <c:h val="0.12778554778554779"/>
                    </c:manualLayout>
                  </c15:layout>
                  <c15:dlblFieldTable/>
                  <c15:showDataLabelsRange val="0"/>
                </c:ext>
                <c:ext xmlns:c16="http://schemas.microsoft.com/office/drawing/2014/chart" uri="{C3380CC4-5D6E-409C-BE32-E72D297353CC}">
                  <c16:uniqueId val="{00000005-3E2D-4C84-8A62-8C4F5EBECF3E}"/>
                </c:ext>
              </c:extLst>
            </c:dLbl>
            <c:dLbl>
              <c:idx val="3"/>
              <c:layout>
                <c:manualLayout>
                  <c:x val="0.21075285750571493"/>
                  <c:y val="-4.1958041958041939E-2"/>
                </c:manualLayout>
              </c:layout>
              <c:spPr>
                <a:noFill/>
                <a:ln>
                  <a:noFill/>
                </a:ln>
                <a:effectLst/>
              </c:spPr>
              <c:txPr>
                <a:bodyPr rot="0" spcFirstLastPara="1" vertOverflow="ellipsis" vert="horz" wrap="square" anchor="ctr" anchorCtr="1"/>
                <a:lstStyle/>
                <a:p>
                  <a:pPr>
                    <a:defRPr sz="1050" b="1" i="0" u="none" strike="noStrike" kern="1200" spc="0" baseline="0">
                      <a:ln>
                        <a:noFill/>
                      </a:ln>
                      <a:solidFill>
                        <a:schemeClr val="accent4"/>
                      </a:solidFill>
                      <a:latin typeface="Palatino Linotype" panose="02040502050505030304" pitchFamily="18" charset="0"/>
                      <a:ea typeface="+mn-ea"/>
                      <a:cs typeface="+mn-cs"/>
                    </a:defRPr>
                  </a:pPr>
                  <a:endParaRPr lang="ru-RU"/>
                </a:p>
              </c:txPr>
              <c:dLblPos val="bestFit"/>
              <c:showLegendKey val="0"/>
              <c:showVal val="1"/>
              <c:showCatName val="1"/>
              <c:showSerName val="0"/>
              <c:showPercent val="0"/>
              <c:showBubbleSize val="0"/>
              <c:extLst>
                <c:ext xmlns:c15="http://schemas.microsoft.com/office/drawing/2012/chart" uri="{CE6537A1-D6FC-4f65-9D91-7224C49458BB}">
                  <c15:layout>
                    <c:manualLayout>
                      <c:w val="0.29490305647277959"/>
                      <c:h val="0.10913752913752914"/>
                    </c:manualLayout>
                  </c15:layout>
                </c:ext>
                <c:ext xmlns:c16="http://schemas.microsoft.com/office/drawing/2014/chart" uri="{C3380CC4-5D6E-409C-BE32-E72D297353CC}">
                  <c16:uniqueId val="{00000007-3E2D-4C84-8A62-8C4F5EBECF3E}"/>
                </c:ext>
              </c:extLst>
            </c:dLbl>
            <c:spPr>
              <a:noFill/>
              <a:ln>
                <a:noFill/>
              </a:ln>
              <a:effectLst/>
            </c:spPr>
            <c:txPr>
              <a:bodyPr rot="0" spcFirstLastPara="1" vertOverflow="ellipsis" vert="horz" wrap="square" lIns="38100" tIns="19050" rIns="38100" bIns="19050" anchor="ctr" anchorCtr="1">
                <a:spAutoFit/>
              </a:bodyPr>
              <a:lstStyle/>
              <a:p>
                <a:pPr>
                  <a:defRPr sz="1050" b="1" i="0" u="none" strike="noStrike" kern="1200" spc="0" baseline="0">
                    <a:ln>
                      <a:noFill/>
                    </a:ln>
                    <a:solidFill>
                      <a:schemeClr val="accent1"/>
                    </a:solidFill>
                    <a:latin typeface="Palatino Linotype" panose="02040502050505030304" pitchFamily="18" charset="0"/>
                    <a:ea typeface="+mn-ea"/>
                    <a:cs typeface="+mn-cs"/>
                  </a:defRPr>
                </a:pPr>
                <a:endParaRPr lang="ru-RU"/>
              </a:p>
            </c:tx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Лист1!$Q$10:$Q$13</c:f>
              <c:strCache>
                <c:ptCount val="4"/>
                <c:pt idx="0">
                  <c:v>TJS</c:v>
                </c:pt>
                <c:pt idx="1">
                  <c:v>RUB</c:v>
                </c:pt>
                <c:pt idx="2">
                  <c:v>USD</c:v>
                </c:pt>
                <c:pt idx="3">
                  <c:v>EURO</c:v>
                </c:pt>
              </c:strCache>
            </c:strRef>
          </c:cat>
          <c:val>
            <c:numRef>
              <c:f>Лист1!$S$10:$S$13</c:f>
              <c:numCache>
                <c:formatCode>0.0%</c:formatCode>
                <c:ptCount val="4"/>
                <c:pt idx="0">
                  <c:v>0.78472222222222221</c:v>
                </c:pt>
                <c:pt idx="1">
                  <c:v>3.4722222222222224E-2</c:v>
                </c:pt>
                <c:pt idx="2">
                  <c:v>0.16666666666666666</c:v>
                </c:pt>
                <c:pt idx="3">
                  <c:v>1.3888888888888888E-2</c:v>
                </c:pt>
              </c:numCache>
            </c:numRef>
          </c:val>
          <c:extLst>
            <c:ext xmlns:c16="http://schemas.microsoft.com/office/drawing/2014/chart" uri="{C3380CC4-5D6E-409C-BE32-E72D297353CC}">
              <c16:uniqueId val="{00000008-3E2D-4C84-8A62-8C4F5EBECF3E}"/>
            </c:ext>
          </c:extLst>
        </c:ser>
        <c:ser>
          <c:idx val="1"/>
          <c:order val="1"/>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A-3E2D-4C84-8A62-8C4F5EBECF3E}"/>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C-3E2D-4C84-8A62-8C4F5EBECF3E}"/>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E-3E2D-4C84-8A62-8C4F5EBECF3E}"/>
              </c:ext>
            </c:extLst>
          </c:dPt>
          <c:dLbls>
            <c:dLbl>
              <c:idx val="0"/>
              <c:spPr>
                <a:noFill/>
                <a:ln>
                  <a:noFill/>
                </a:ln>
                <a:effectLst/>
              </c:spPr>
              <c:txPr>
                <a:bodyPr rot="0" spcFirstLastPara="1" vertOverflow="ellipsis" vert="horz" wrap="square" anchor="ctr" anchorCtr="1"/>
                <a:lstStyle/>
                <a:p>
                  <a:pPr>
                    <a:defRPr sz="1000" b="1" i="0" u="none" strike="noStrike" kern="1200" spc="0" baseline="0">
                      <a:ln>
                        <a:noFill/>
                      </a:ln>
                      <a:solidFill>
                        <a:schemeClr val="accent1"/>
                      </a:solidFill>
                      <a:latin typeface="+mn-lt"/>
                      <a:ea typeface="+mn-ea"/>
                      <a:cs typeface="+mn-cs"/>
                    </a:defRPr>
                  </a:pPr>
                  <a:endParaRPr lang="ru-RU"/>
                </a:p>
              </c:txPr>
              <c:dLblPos val="outEnd"/>
              <c:showLegendKey val="0"/>
              <c:showVal val="0"/>
              <c:showCatName val="1"/>
              <c:showSerName val="0"/>
              <c:showPercent val="0"/>
              <c:showBubbleSize val="0"/>
              <c:extLst>
                <c:ext xmlns:c16="http://schemas.microsoft.com/office/drawing/2014/chart" uri="{C3380CC4-5D6E-409C-BE32-E72D297353CC}">
                  <c16:uniqueId val="{0000000A-3E2D-4C84-8A62-8C4F5EBECF3E}"/>
                </c:ext>
              </c:extLst>
            </c:dLbl>
            <c:dLbl>
              <c:idx val="1"/>
              <c:spPr>
                <a:noFill/>
                <a:ln>
                  <a:noFill/>
                </a:ln>
                <a:effectLst/>
              </c:spPr>
              <c:txPr>
                <a:bodyPr rot="0" spcFirstLastPara="1" vertOverflow="ellipsis" vert="horz" wrap="square" anchor="ctr" anchorCtr="1"/>
                <a:lstStyle/>
                <a:p>
                  <a:pPr>
                    <a:defRPr sz="1000" b="1" i="0" u="none" strike="noStrike" kern="1200" spc="0" baseline="0">
                      <a:ln>
                        <a:noFill/>
                      </a:ln>
                      <a:solidFill>
                        <a:schemeClr val="accent2"/>
                      </a:solidFill>
                      <a:latin typeface="+mn-lt"/>
                      <a:ea typeface="+mn-ea"/>
                      <a:cs typeface="+mn-cs"/>
                    </a:defRPr>
                  </a:pPr>
                  <a:endParaRPr lang="ru-RU"/>
                </a:p>
              </c:txPr>
              <c:dLblPos val="outEnd"/>
              <c:showLegendKey val="0"/>
              <c:showVal val="0"/>
              <c:showCatName val="1"/>
              <c:showSerName val="0"/>
              <c:showPercent val="0"/>
              <c:showBubbleSize val="0"/>
              <c:extLst>
                <c:ext xmlns:c16="http://schemas.microsoft.com/office/drawing/2014/chart" uri="{C3380CC4-5D6E-409C-BE32-E72D297353CC}">
                  <c16:uniqueId val="{0000000C-3E2D-4C84-8A62-8C4F5EBECF3E}"/>
                </c:ext>
              </c:extLst>
            </c:dLbl>
            <c:dLbl>
              <c:idx val="2"/>
              <c:spPr>
                <a:noFill/>
                <a:ln>
                  <a:noFill/>
                </a:ln>
                <a:effectLst/>
              </c:spPr>
              <c:txPr>
                <a:bodyPr rot="0" spcFirstLastPara="1" vertOverflow="ellipsis" vert="horz" wrap="square" anchor="ctr" anchorCtr="1"/>
                <a:lstStyle/>
                <a:p>
                  <a:pPr>
                    <a:defRPr sz="1000" b="1" i="0" u="none" strike="noStrike" kern="1200" spc="0" baseline="0">
                      <a:ln>
                        <a:noFill/>
                      </a:ln>
                      <a:solidFill>
                        <a:schemeClr val="accent3"/>
                      </a:solidFill>
                      <a:latin typeface="+mn-lt"/>
                      <a:ea typeface="+mn-ea"/>
                      <a:cs typeface="+mn-cs"/>
                    </a:defRPr>
                  </a:pPr>
                  <a:endParaRPr lang="ru-RU"/>
                </a:p>
              </c:txPr>
              <c:dLblPos val="outEnd"/>
              <c:showLegendKey val="0"/>
              <c:showVal val="0"/>
              <c:showCatName val="1"/>
              <c:showSerName val="0"/>
              <c:showPercent val="0"/>
              <c:showBubbleSize val="0"/>
              <c:extLst>
                <c:ext xmlns:c16="http://schemas.microsoft.com/office/drawing/2014/chart" uri="{C3380CC4-5D6E-409C-BE32-E72D297353CC}">
                  <c16:uniqueId val="{0000000E-3E2D-4C84-8A62-8C4F5EBECF3E}"/>
                </c:ext>
              </c:extLst>
            </c:dLbl>
            <c:spPr>
              <a:noFill/>
              <a:ln>
                <a:noFill/>
              </a:ln>
              <a:effectLst/>
            </c:spPr>
            <c:dLblPos val="outEnd"/>
            <c:showLegendKey val="0"/>
            <c:showVal val="0"/>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Лист1!$Q$10:$Q$13</c:f>
              <c:strCache>
                <c:ptCount val="4"/>
                <c:pt idx="0">
                  <c:v>TJS</c:v>
                </c:pt>
                <c:pt idx="1">
                  <c:v>RUB</c:v>
                </c:pt>
                <c:pt idx="2">
                  <c:v>USD</c:v>
                </c:pt>
                <c:pt idx="3">
                  <c:v>EURO</c:v>
                </c:pt>
              </c:strCache>
            </c:strRef>
          </c:cat>
          <c:val>
            <c:numRef>
              <c:f>Лист1!$S$10:$S$12</c:f>
              <c:numCache>
                <c:formatCode>0.0%</c:formatCode>
                <c:ptCount val="3"/>
                <c:pt idx="0">
                  <c:v>0.78472222222222221</c:v>
                </c:pt>
                <c:pt idx="1">
                  <c:v>3.4722222222222224E-2</c:v>
                </c:pt>
                <c:pt idx="2">
                  <c:v>0.16666666666666666</c:v>
                </c:pt>
              </c:numCache>
            </c:numRef>
          </c:val>
          <c:extLst>
            <c:ext xmlns:c16="http://schemas.microsoft.com/office/drawing/2014/chart" uri="{C3380CC4-5D6E-409C-BE32-E72D297353CC}">
              <c16:uniqueId val="{0000000F-3E2D-4C84-8A62-8C4F5EBECF3E}"/>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n>
            <a:noFill/>
          </a:ln>
        </a:defRPr>
      </a:pPr>
      <a:endParaRPr lang="ru-RU"/>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cdr:x>
      <cdr:y>0</cdr:y>
    </cdr:from>
    <cdr:to>
      <cdr:x>1</cdr:x>
      <cdr:y>0.08302</cdr:y>
    </cdr:to>
    <cdr:sp macro="" textlink="">
      <cdr:nvSpPr>
        <cdr:cNvPr id="2" name="TextBox 1"/>
        <cdr:cNvSpPr txBox="1"/>
      </cdr:nvSpPr>
      <cdr:spPr>
        <a:xfrm xmlns:a="http://schemas.openxmlformats.org/drawingml/2006/main">
          <a:off x="0" y="0"/>
          <a:ext cx="2886075" cy="20955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a:r>
            <a:rPr lang="tt-RU" sz="1000" b="1">
              <a:latin typeface="GHEA Grapalat" panose="02000506050000020003" pitchFamily="50" charset="0"/>
              <a:ea typeface="Microsoft YaHei" panose="020B0503020204020204" pitchFamily="34" charset="-122"/>
            </a:rPr>
            <a:t>Поддельные денежные знаки  (штук)</a:t>
          </a:r>
          <a:endParaRPr lang="en-US" sz="1000" b="1">
            <a:latin typeface="GHEA Grapalat" panose="02000506050000020003" pitchFamily="50" charset="0"/>
            <a:ea typeface="Microsoft YaHei" panose="020B0503020204020204" pitchFamily="34" charset="-122"/>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cdr:x>
      <cdr:y>0.01376</cdr:y>
    </cdr:from>
    <cdr:to>
      <cdr:x>1</cdr:x>
      <cdr:y>0.10909</cdr:y>
    </cdr:to>
    <cdr:sp macro="" textlink="">
      <cdr:nvSpPr>
        <cdr:cNvPr id="2" name="TextBox 1"/>
        <cdr:cNvSpPr txBox="1"/>
      </cdr:nvSpPr>
      <cdr:spPr>
        <a:xfrm xmlns:a="http://schemas.openxmlformats.org/drawingml/2006/main">
          <a:off x="0" y="36043"/>
          <a:ext cx="2762250" cy="24970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a:r>
            <a:rPr lang="tt-RU" sz="1000" b="1">
              <a:latin typeface="GHEA Grapalat" panose="02000506050000020003" pitchFamily="50" charset="0"/>
            </a:rPr>
            <a:t>Поддельные денежные знаки (</a:t>
          </a:r>
          <a:r>
            <a:rPr lang="en-US" sz="1000" b="1">
              <a:latin typeface="GHEA Grapalat" panose="02000506050000020003" pitchFamily="50" charset="0"/>
            </a:rPr>
            <a:t>%</a:t>
          </a:r>
          <a:r>
            <a:rPr lang="tt-RU" sz="1000" b="1">
              <a:latin typeface="GHEA Grapalat" panose="02000506050000020003" pitchFamily="50" charset="0"/>
            </a:rPr>
            <a:t>)</a:t>
          </a:r>
          <a:endParaRPr lang="en-US" sz="1000" b="1">
            <a:latin typeface="GHEA Grapalat" panose="02000506050000020003" pitchFamily="50" charset="0"/>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DB6923-DCDF-49C8-9F5A-DBC1A15810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17</Pages>
  <Words>4646</Words>
  <Characters>26484</Characters>
  <DocSecurity>0</DocSecurity>
  <Lines>220</Lines>
  <Paragraphs>62</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31068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Printed>2023-06-08T08:41:00Z</cp:lastPrinted>
  <dcterms:created xsi:type="dcterms:W3CDTF">2023-06-01T06:56:00Z</dcterms:created>
  <dcterms:modified xsi:type="dcterms:W3CDTF">2023-06-08T08:42:00Z</dcterms:modified>
</cp:coreProperties>
</file>