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ADB864" w14:textId="77777777" w:rsidR="003D3927" w:rsidRPr="00722367" w:rsidRDefault="003D3927" w:rsidP="005A7F34">
      <w:pPr>
        <w:rPr>
          <w:sz w:val="8"/>
          <w:szCs w:val="8"/>
        </w:rPr>
      </w:pPr>
    </w:p>
    <w:p w14:paraId="6D87B369" w14:textId="77777777" w:rsidR="003D3927" w:rsidRPr="008A4CFC" w:rsidRDefault="003D3927" w:rsidP="005A7F34">
      <w:pPr>
        <w:rPr>
          <w:sz w:val="16"/>
          <w:szCs w:val="16"/>
        </w:rPr>
      </w:pPr>
    </w:p>
    <w:tbl>
      <w:tblPr>
        <w:tblW w:w="10008" w:type="dxa"/>
        <w:tblLook w:val="01E0" w:firstRow="1" w:lastRow="1" w:firstColumn="1" w:lastColumn="1" w:noHBand="0" w:noVBand="0"/>
      </w:tblPr>
      <w:tblGrid>
        <w:gridCol w:w="5688"/>
        <w:gridCol w:w="4320"/>
      </w:tblGrid>
      <w:tr w:rsidR="003D3927" w:rsidRPr="00E866DC" w14:paraId="5607B0C8" w14:textId="77777777" w:rsidTr="00066D52">
        <w:trPr>
          <w:trHeight w:val="1143"/>
        </w:trPr>
        <w:tc>
          <w:tcPr>
            <w:tcW w:w="5688" w:type="dxa"/>
          </w:tcPr>
          <w:p w14:paraId="09FAB03E" w14:textId="77777777" w:rsidR="003D3927" w:rsidRPr="008A4CFC" w:rsidRDefault="003D3927" w:rsidP="005A7F34">
            <w:pPr>
              <w:pStyle w:val="31"/>
              <w:spacing w:after="0"/>
              <w:ind w:left="0" w:firstLine="709"/>
            </w:pPr>
          </w:p>
        </w:tc>
        <w:tc>
          <w:tcPr>
            <w:tcW w:w="4320" w:type="dxa"/>
          </w:tcPr>
          <w:p w14:paraId="7147FFFB" w14:textId="77777777" w:rsidR="00722367" w:rsidRPr="00E866DC" w:rsidRDefault="00722367" w:rsidP="00722367">
            <w:pPr>
              <w:rPr>
                <w:bCs/>
                <w:i/>
                <w:color w:val="000000"/>
              </w:rPr>
            </w:pPr>
            <w:r w:rsidRPr="00E866DC">
              <w:rPr>
                <w:bCs/>
                <w:i/>
                <w:color w:val="000000"/>
              </w:rPr>
              <w:t xml:space="preserve">к пункту </w:t>
            </w:r>
            <w:r w:rsidR="005664B4">
              <w:rPr>
                <w:bCs/>
                <w:i/>
                <w:color w:val="000000"/>
              </w:rPr>
              <w:t>5</w:t>
            </w:r>
            <w:r w:rsidR="005664B4" w:rsidRPr="00E866DC">
              <w:rPr>
                <w:bCs/>
                <w:i/>
                <w:color w:val="000000"/>
              </w:rPr>
              <w:t xml:space="preserve"> </w:t>
            </w:r>
            <w:r w:rsidRPr="00E866DC">
              <w:rPr>
                <w:bCs/>
                <w:i/>
                <w:color w:val="000000"/>
              </w:rPr>
              <w:t>повестки дня</w:t>
            </w:r>
          </w:p>
          <w:p w14:paraId="723428A2" w14:textId="77777777" w:rsidR="00A31AD7" w:rsidRPr="00956344" w:rsidRDefault="001A061B" w:rsidP="00DA212A">
            <w:pPr>
              <w:rPr>
                <w:bCs/>
                <w:i/>
                <w:color w:val="000000"/>
              </w:rPr>
            </w:pPr>
            <w:r w:rsidRPr="00E866DC">
              <w:rPr>
                <w:bCs/>
                <w:i/>
                <w:color w:val="000000"/>
              </w:rPr>
              <w:t>4</w:t>
            </w:r>
            <w:r w:rsidR="00DA212A">
              <w:rPr>
                <w:bCs/>
                <w:i/>
                <w:color w:val="000000"/>
                <w:lang w:val="ky-KG"/>
              </w:rPr>
              <w:t>8</w:t>
            </w:r>
            <w:r w:rsidR="00722367" w:rsidRPr="00E866DC">
              <w:rPr>
                <w:bCs/>
                <w:i/>
                <w:color w:val="000000"/>
              </w:rPr>
              <w:t>-го заседания Евразийского совета центральных (национальных) банков</w:t>
            </w:r>
          </w:p>
        </w:tc>
      </w:tr>
    </w:tbl>
    <w:p w14:paraId="0015D216" w14:textId="77777777" w:rsidR="00B07EB9" w:rsidRPr="00DA4363" w:rsidRDefault="00B07EB9" w:rsidP="005A7F34">
      <w:pPr>
        <w:jc w:val="center"/>
        <w:rPr>
          <w:b/>
          <w:sz w:val="16"/>
          <w:szCs w:val="16"/>
        </w:rPr>
      </w:pPr>
    </w:p>
    <w:p w14:paraId="602938E8" w14:textId="77777777" w:rsidR="003D3927" w:rsidRDefault="003D3927" w:rsidP="005A7F34">
      <w:pPr>
        <w:jc w:val="center"/>
        <w:rPr>
          <w:b/>
        </w:rPr>
      </w:pPr>
      <w:r w:rsidRPr="00E866DC">
        <w:rPr>
          <w:b/>
        </w:rPr>
        <w:t>Справка</w:t>
      </w:r>
    </w:p>
    <w:p w14:paraId="28790EDA" w14:textId="77777777" w:rsidR="00956344" w:rsidRPr="00E866DC" w:rsidRDefault="00956344" w:rsidP="005A7F34">
      <w:pPr>
        <w:jc w:val="center"/>
        <w:rPr>
          <w:b/>
        </w:rPr>
      </w:pPr>
    </w:p>
    <w:p w14:paraId="473B77E5" w14:textId="77777777" w:rsidR="00956344" w:rsidRDefault="0074712A" w:rsidP="00956344">
      <w:pPr>
        <w:jc w:val="center"/>
        <w:rPr>
          <w:b/>
        </w:rPr>
      </w:pPr>
      <w:r w:rsidRPr="00E866DC">
        <w:rPr>
          <w:b/>
        </w:rPr>
        <w:t xml:space="preserve">О результатах работы за </w:t>
      </w:r>
      <w:r w:rsidR="001A061B" w:rsidRPr="00E866DC">
        <w:rPr>
          <w:b/>
        </w:rPr>
        <w:t>202</w:t>
      </w:r>
      <w:r w:rsidR="006C0E2C">
        <w:rPr>
          <w:b/>
          <w:lang w:val="ky-KG"/>
        </w:rPr>
        <w:t>2</w:t>
      </w:r>
      <w:r w:rsidR="001A061B" w:rsidRPr="00E866DC">
        <w:rPr>
          <w:b/>
        </w:rPr>
        <w:t xml:space="preserve"> </w:t>
      </w:r>
      <w:r w:rsidRPr="00E866DC">
        <w:rPr>
          <w:b/>
        </w:rPr>
        <w:t xml:space="preserve">год и перспективах развития </w:t>
      </w:r>
    </w:p>
    <w:p w14:paraId="4F735698" w14:textId="77777777" w:rsidR="007A25F6" w:rsidRPr="00E866DC" w:rsidRDefault="0074712A" w:rsidP="00956344">
      <w:pPr>
        <w:jc w:val="center"/>
        <w:rPr>
          <w:b/>
        </w:rPr>
      </w:pPr>
      <w:r w:rsidRPr="00E866DC">
        <w:rPr>
          <w:b/>
        </w:rPr>
        <w:t xml:space="preserve">банковского сектора на </w:t>
      </w:r>
      <w:r w:rsidR="001A061B" w:rsidRPr="00E866DC">
        <w:rPr>
          <w:b/>
        </w:rPr>
        <w:t>202</w:t>
      </w:r>
      <w:r w:rsidR="006C0E2C">
        <w:rPr>
          <w:b/>
          <w:lang w:val="ky-KG"/>
        </w:rPr>
        <w:t>3</w:t>
      </w:r>
      <w:r w:rsidR="001A061B" w:rsidRPr="00E866DC">
        <w:rPr>
          <w:b/>
        </w:rPr>
        <w:t xml:space="preserve"> </w:t>
      </w:r>
      <w:r w:rsidRPr="00E866DC">
        <w:rPr>
          <w:b/>
        </w:rPr>
        <w:t xml:space="preserve">год государств центральных (национальных) </w:t>
      </w:r>
    </w:p>
    <w:p w14:paraId="16CDED39" w14:textId="77777777" w:rsidR="00C51157" w:rsidRPr="00E866DC" w:rsidRDefault="0074712A" w:rsidP="005A7F34">
      <w:pPr>
        <w:jc w:val="center"/>
        <w:rPr>
          <w:b/>
        </w:rPr>
      </w:pPr>
      <w:r w:rsidRPr="00E866DC">
        <w:rPr>
          <w:b/>
        </w:rPr>
        <w:t>банков – участников ЕСБ</w:t>
      </w:r>
    </w:p>
    <w:p w14:paraId="75125BAD" w14:textId="77777777" w:rsidR="0074712A" w:rsidRPr="00956344" w:rsidRDefault="0074712A" w:rsidP="005A7F34">
      <w:pPr>
        <w:jc w:val="center"/>
        <w:rPr>
          <w:b/>
          <w:sz w:val="16"/>
          <w:szCs w:val="16"/>
        </w:rPr>
      </w:pPr>
    </w:p>
    <w:p w14:paraId="1B2A855E" w14:textId="77777777" w:rsidR="002C42BE" w:rsidRDefault="003D3927">
      <w:pPr>
        <w:ind w:firstLine="708"/>
        <w:jc w:val="both"/>
      </w:pPr>
      <w:r w:rsidRPr="00D6080E">
        <w:rPr>
          <w:b/>
          <w:u w:val="single"/>
        </w:rPr>
        <w:t>Макроэкономическая ситуация</w:t>
      </w:r>
      <w:r w:rsidRPr="00D6080E">
        <w:t xml:space="preserve"> в </w:t>
      </w:r>
      <w:r w:rsidR="007A25F6" w:rsidRPr="00D6080E">
        <w:t xml:space="preserve">государствах центральных (национальных) банков – участников </w:t>
      </w:r>
      <w:r w:rsidRPr="00D6080E">
        <w:t xml:space="preserve">Евразийского совета </w:t>
      </w:r>
      <w:r w:rsidR="007A25F6" w:rsidRPr="00D6080E">
        <w:t xml:space="preserve">центральных (национальных) банков </w:t>
      </w:r>
      <w:r w:rsidRPr="00D6080E">
        <w:t>в течение 20</w:t>
      </w:r>
      <w:r w:rsidR="0023308A" w:rsidRPr="00D6080E">
        <w:rPr>
          <w:lang w:val="ky-KG"/>
        </w:rPr>
        <w:t>2</w:t>
      </w:r>
      <w:r w:rsidR="00053409" w:rsidRPr="00D6080E">
        <w:rPr>
          <w:lang w:val="ky-KG"/>
        </w:rPr>
        <w:t>1</w:t>
      </w:r>
      <w:r w:rsidR="007A25F6" w:rsidRPr="00D6080E">
        <w:t xml:space="preserve"> – </w:t>
      </w:r>
      <w:r w:rsidRPr="00D6080E">
        <w:t>20</w:t>
      </w:r>
      <w:r w:rsidR="006A583E" w:rsidRPr="00D6080E">
        <w:t>2</w:t>
      </w:r>
      <w:r w:rsidR="00053409" w:rsidRPr="00D6080E">
        <w:rPr>
          <w:lang w:val="ky-KG"/>
        </w:rPr>
        <w:t>2</w:t>
      </w:r>
      <w:r w:rsidR="006A583E" w:rsidRPr="00D6080E">
        <w:t xml:space="preserve"> </w:t>
      </w:r>
      <w:r w:rsidRPr="00D6080E">
        <w:t xml:space="preserve">годов несмотря на непростые внешние и макроэкономические </w:t>
      </w:r>
      <w:r w:rsidR="000B36F4">
        <w:t xml:space="preserve">условия и </w:t>
      </w:r>
      <w:r w:rsidR="006F0FD9" w:rsidRPr="00D6080E">
        <w:rPr>
          <w:rFonts w:eastAsia="Calibri"/>
        </w:rPr>
        <w:t>нарастающ</w:t>
      </w:r>
      <w:r w:rsidR="006F0FD9">
        <w:rPr>
          <w:rFonts w:eastAsia="Calibri"/>
        </w:rPr>
        <w:t>ую</w:t>
      </w:r>
      <w:r w:rsidR="006F0FD9" w:rsidRPr="00D6080E">
        <w:rPr>
          <w:rFonts w:eastAsia="Calibri"/>
        </w:rPr>
        <w:t xml:space="preserve"> </w:t>
      </w:r>
      <w:r w:rsidR="00C25B7A" w:rsidRPr="00D6080E">
        <w:rPr>
          <w:rFonts w:eastAsia="Calibri"/>
        </w:rPr>
        <w:t>неопределенност</w:t>
      </w:r>
      <w:r w:rsidR="006F0FD9">
        <w:rPr>
          <w:rFonts w:eastAsia="Calibri"/>
        </w:rPr>
        <w:t>ь</w:t>
      </w:r>
      <w:r w:rsidR="00C25B7A" w:rsidRPr="00D6080E">
        <w:rPr>
          <w:rFonts w:eastAsia="Calibri"/>
        </w:rPr>
        <w:t xml:space="preserve">, </w:t>
      </w:r>
      <w:r w:rsidR="006F0FD9" w:rsidRPr="00D6080E">
        <w:rPr>
          <w:rFonts w:eastAsia="Calibri"/>
        </w:rPr>
        <w:t>вызванн</w:t>
      </w:r>
      <w:r w:rsidR="006F0FD9">
        <w:rPr>
          <w:rFonts w:eastAsia="Calibri"/>
        </w:rPr>
        <w:t>ую</w:t>
      </w:r>
      <w:r w:rsidR="006F0FD9" w:rsidRPr="00D6080E">
        <w:rPr>
          <w:rFonts w:eastAsia="Calibri"/>
        </w:rPr>
        <w:t xml:space="preserve"> </w:t>
      </w:r>
      <w:r w:rsidR="00C25B7A" w:rsidRPr="00D6080E">
        <w:rPr>
          <w:rFonts w:eastAsia="Calibri"/>
        </w:rPr>
        <w:t>геополитической ситуацией</w:t>
      </w:r>
      <w:r w:rsidR="00C25B7A" w:rsidRPr="00D6080E">
        <w:t xml:space="preserve"> и кризисной ситуаци</w:t>
      </w:r>
      <w:r w:rsidR="00D273D2" w:rsidRPr="00D6080E">
        <w:t xml:space="preserve">ей в </w:t>
      </w:r>
      <w:r w:rsidR="00C25B7A" w:rsidRPr="00D6080E">
        <w:t>отдельных</w:t>
      </w:r>
      <w:r w:rsidR="00D273D2" w:rsidRPr="00D6080E">
        <w:t xml:space="preserve"> странах,</w:t>
      </w:r>
      <w:r w:rsidR="00C25B7A" w:rsidRPr="00D6080E">
        <w:t xml:space="preserve"> </w:t>
      </w:r>
      <w:r w:rsidRPr="00D6080E">
        <w:t xml:space="preserve">характеризовалась относительной стабилизацией национальных финансов и </w:t>
      </w:r>
      <w:r w:rsidR="006F0FD9" w:rsidRPr="00D6080E">
        <w:t>формирован</w:t>
      </w:r>
      <w:r w:rsidR="00420EB6">
        <w:t>и</w:t>
      </w:r>
      <w:r w:rsidR="006F0FD9">
        <w:t>ем</w:t>
      </w:r>
      <w:r w:rsidR="006F0FD9" w:rsidRPr="00D6080E">
        <w:t xml:space="preserve"> </w:t>
      </w:r>
      <w:r w:rsidRPr="00D6080E">
        <w:t>ряда позитивных тенденций в области денежно-кредитной политики и положении хозяйствующих субъектов экономики</w:t>
      </w:r>
      <w:r w:rsidR="004036CD">
        <w:t xml:space="preserve">. </w:t>
      </w:r>
    </w:p>
    <w:p w14:paraId="494B336D" w14:textId="77777777" w:rsidR="0051657B" w:rsidRDefault="00105699" w:rsidP="009D344F">
      <w:pPr>
        <w:ind w:firstLine="708"/>
        <w:jc w:val="both"/>
        <w:rPr>
          <w:rFonts w:eastAsia="Calibri"/>
        </w:rPr>
      </w:pPr>
      <w:r w:rsidRPr="007B7026">
        <w:t xml:space="preserve">В 2022 году </w:t>
      </w:r>
      <w:r w:rsidRPr="001549D3">
        <w:rPr>
          <w:b/>
          <w:u w:val="single"/>
        </w:rPr>
        <w:t>банковский сектор</w:t>
      </w:r>
      <w:r w:rsidRPr="007B7026">
        <w:t xml:space="preserve"> </w:t>
      </w:r>
      <w:r w:rsidR="00E73B70" w:rsidRPr="00D6080E">
        <w:t xml:space="preserve">Евразийского совета </w:t>
      </w:r>
      <w:r w:rsidRPr="007B7026">
        <w:t xml:space="preserve">столкнулся с широким спектром вызовов в условиях </w:t>
      </w:r>
      <w:r w:rsidR="00D7768D" w:rsidRPr="007B7026">
        <w:t xml:space="preserve">воздействия </w:t>
      </w:r>
      <w:r w:rsidRPr="007B7026">
        <w:t>санкционного давления. Центральные банки</w:t>
      </w:r>
      <w:r w:rsidR="00D7768D" w:rsidRPr="007B7026">
        <w:t xml:space="preserve"> стран </w:t>
      </w:r>
      <w:r w:rsidR="000F58EA" w:rsidRPr="007B7026">
        <w:t>участни</w:t>
      </w:r>
      <w:r w:rsidR="000F58EA">
        <w:t xml:space="preserve">ков </w:t>
      </w:r>
      <w:r w:rsidR="00D7768D" w:rsidRPr="007B7026">
        <w:t xml:space="preserve">Евразийского совета центральных (национальных) банков </w:t>
      </w:r>
      <w:r w:rsidR="0028580F" w:rsidRPr="007B7026">
        <w:t>реализов</w:t>
      </w:r>
      <w:r w:rsidR="0051657B">
        <w:t>ывали</w:t>
      </w:r>
      <w:r w:rsidRPr="007B7026">
        <w:t xml:space="preserve"> различные меры поддержки, направленны</w:t>
      </w:r>
      <w:r w:rsidR="00521634" w:rsidRPr="007B7026">
        <w:t>е</w:t>
      </w:r>
      <w:r w:rsidRPr="007B7026">
        <w:t xml:space="preserve"> на адаптацию </w:t>
      </w:r>
      <w:r w:rsidRPr="007B7026">
        <w:rPr>
          <w:rFonts w:eastAsia="Calibri"/>
        </w:rPr>
        <w:t>финансово-кредитных организаций</w:t>
      </w:r>
      <w:r w:rsidRPr="007B7026">
        <w:t xml:space="preserve"> к высокой волатильности на финансовых рынках, а также к более долгосрочным структурным изменениям,</w:t>
      </w:r>
      <w:r w:rsidR="00521634" w:rsidRPr="007B7026">
        <w:t xml:space="preserve"> что привело к </w:t>
      </w:r>
      <w:r w:rsidR="00521634" w:rsidRPr="007B7026">
        <w:rPr>
          <w:rFonts w:eastAsia="Calibri"/>
        </w:rPr>
        <w:t>поступательному развитию основных показателей деятельности, сохранив устойчивость и потенциал для дальнейшего расширения предложения финансовых услуг</w:t>
      </w:r>
      <w:r w:rsidR="0028580F" w:rsidRPr="007B7026">
        <w:rPr>
          <w:rFonts w:eastAsia="Calibri"/>
        </w:rPr>
        <w:t>.</w:t>
      </w:r>
      <w:r w:rsidR="007B7026" w:rsidRPr="007B7026">
        <w:rPr>
          <w:rFonts w:eastAsia="Calibri"/>
        </w:rPr>
        <w:t xml:space="preserve"> </w:t>
      </w:r>
    </w:p>
    <w:p w14:paraId="6500B2FD" w14:textId="77777777" w:rsidR="00A31AD7" w:rsidRDefault="0051657B" w:rsidP="009D344F">
      <w:pPr>
        <w:ind w:firstLine="708"/>
        <w:jc w:val="both"/>
        <w:rPr>
          <w:rFonts w:eastAsia="Calibri"/>
        </w:rPr>
      </w:pPr>
      <w:r>
        <w:rPr>
          <w:lang w:val="ky-KG"/>
        </w:rPr>
        <w:t xml:space="preserve">Предпринятые </w:t>
      </w:r>
      <w:r w:rsidR="001549D3" w:rsidRPr="002279A6">
        <w:rPr>
          <w:lang w:val="ky-KG"/>
        </w:rPr>
        <w:t>мер</w:t>
      </w:r>
      <w:r w:rsidR="001549D3">
        <w:rPr>
          <w:lang w:val="ky-KG"/>
        </w:rPr>
        <w:t>ы</w:t>
      </w:r>
      <w:r w:rsidR="001549D3" w:rsidRPr="002279A6">
        <w:rPr>
          <w:lang w:val="ky-KG"/>
        </w:rPr>
        <w:t xml:space="preserve"> оказал</w:t>
      </w:r>
      <w:r w:rsidR="001549D3">
        <w:rPr>
          <w:lang w:val="ky-KG"/>
        </w:rPr>
        <w:t>и</w:t>
      </w:r>
      <w:r w:rsidR="001549D3" w:rsidRPr="002279A6">
        <w:rPr>
          <w:lang w:val="ky-KG"/>
        </w:rPr>
        <w:t xml:space="preserve"> </w:t>
      </w:r>
      <w:r w:rsidR="001549D3" w:rsidRPr="001549D3">
        <w:t xml:space="preserve">положительное влияние на укрепление стабильности и </w:t>
      </w:r>
      <w:r w:rsidRPr="001549D3">
        <w:t>сохранени</w:t>
      </w:r>
      <w:r>
        <w:t>е</w:t>
      </w:r>
      <w:r w:rsidRPr="001549D3">
        <w:t xml:space="preserve"> </w:t>
      </w:r>
      <w:r w:rsidR="001549D3" w:rsidRPr="001549D3">
        <w:t>ликвидности банковского сектора.</w:t>
      </w:r>
      <w:r w:rsidR="001549D3" w:rsidRPr="001549D3">
        <w:rPr>
          <w:rFonts w:eastAsia="Calibri"/>
        </w:rPr>
        <w:t xml:space="preserve"> </w:t>
      </w:r>
      <w:r w:rsidR="007B7026" w:rsidRPr="001549D3">
        <w:rPr>
          <w:rFonts w:eastAsia="Calibri"/>
        </w:rPr>
        <w:t xml:space="preserve">В 2022 году основные показатели деятельности финансово-кредитных организаций продемонстрировали </w:t>
      </w:r>
      <w:r w:rsidR="004036CD" w:rsidRPr="001549D3">
        <w:t>рост,</w:t>
      </w:r>
      <w:r w:rsidR="007B7026" w:rsidRPr="001549D3">
        <w:t xml:space="preserve"> вместе с тем</w:t>
      </w:r>
      <w:r w:rsidR="004036CD" w:rsidRPr="001549D3">
        <w:t xml:space="preserve"> </w:t>
      </w:r>
      <w:r w:rsidR="007B7026" w:rsidRPr="001549D3">
        <w:t xml:space="preserve">наблюдался </w:t>
      </w:r>
      <w:r w:rsidR="004036CD" w:rsidRPr="001549D3">
        <w:t xml:space="preserve">рост </w:t>
      </w:r>
      <w:r w:rsidR="00EE6BE9" w:rsidRPr="001549D3">
        <w:t xml:space="preserve">экономической </w:t>
      </w:r>
      <w:r w:rsidR="004036CD" w:rsidRPr="001549D3">
        <w:t>активности</w:t>
      </w:r>
      <w:r w:rsidR="002C42BE" w:rsidRPr="001549D3">
        <w:t>, что связано с ростом кредитования</w:t>
      </w:r>
      <w:r w:rsidR="002C42BE" w:rsidRPr="007B7026">
        <w:t xml:space="preserve"> в отдельных странах</w:t>
      </w:r>
      <w:r w:rsidR="002C42BE">
        <w:t>.</w:t>
      </w:r>
      <w:r w:rsidR="004036CD">
        <w:t xml:space="preserve"> В некоторых странах прибыль </w:t>
      </w:r>
      <w:r w:rsidR="007B7026">
        <w:rPr>
          <w:rFonts w:eastAsia="Calibri"/>
        </w:rPr>
        <w:t>банковского сектора</w:t>
      </w:r>
      <w:r w:rsidR="00EE6BE9">
        <w:rPr>
          <w:rFonts w:eastAsia="Calibri"/>
        </w:rPr>
        <w:t xml:space="preserve"> </w:t>
      </w:r>
      <w:r w:rsidR="00136C68" w:rsidRPr="00D07C40">
        <w:rPr>
          <w:rFonts w:eastAsia="Calibri"/>
        </w:rPr>
        <w:t>за рассматриваемый период з</w:t>
      </w:r>
      <w:r w:rsidR="00EE6BE9">
        <w:rPr>
          <w:rFonts w:eastAsia="Calibri"/>
        </w:rPr>
        <w:t>аметно</w:t>
      </w:r>
      <w:r w:rsidR="00136C68" w:rsidRPr="00D07C40">
        <w:rPr>
          <w:rFonts w:eastAsia="Calibri"/>
        </w:rPr>
        <w:t xml:space="preserve"> </w:t>
      </w:r>
      <w:r w:rsidRPr="00D07C40">
        <w:rPr>
          <w:rFonts w:eastAsia="Calibri"/>
        </w:rPr>
        <w:t>у</w:t>
      </w:r>
      <w:r>
        <w:rPr>
          <w:rFonts w:eastAsia="Calibri"/>
        </w:rPr>
        <w:t>величилась</w:t>
      </w:r>
      <w:r w:rsidR="001549D3">
        <w:rPr>
          <w:rFonts w:eastAsia="Calibri"/>
        </w:rPr>
        <w:t>.</w:t>
      </w:r>
      <w:r w:rsidR="00136C68" w:rsidRPr="00D07C40">
        <w:rPr>
          <w:rFonts w:eastAsia="Calibri"/>
        </w:rPr>
        <w:t xml:space="preserve"> </w:t>
      </w:r>
    </w:p>
    <w:p w14:paraId="66DF7E4E" w14:textId="77777777" w:rsidR="0051657B" w:rsidRPr="009D344F" w:rsidRDefault="0051657B" w:rsidP="009D344F">
      <w:pPr>
        <w:ind w:firstLine="708"/>
        <w:jc w:val="both"/>
      </w:pPr>
    </w:p>
    <w:p w14:paraId="26FD73D8" w14:textId="77777777" w:rsidR="003D3927" w:rsidRPr="00BC3310" w:rsidRDefault="00D200E0" w:rsidP="00BC3310">
      <w:pPr>
        <w:pStyle w:val="2"/>
        <w:rPr>
          <w:rFonts w:ascii="Times New Roman" w:hAnsi="Times New Roman" w:cs="Times New Roman"/>
          <w:b/>
          <w:color w:val="auto"/>
          <w:sz w:val="24"/>
          <w:szCs w:val="24"/>
        </w:rPr>
      </w:pPr>
      <w:r w:rsidRPr="00BC3310">
        <w:rPr>
          <w:rFonts w:ascii="Times New Roman" w:hAnsi="Times New Roman" w:cs="Times New Roman"/>
          <w:b/>
          <w:color w:val="auto"/>
          <w:sz w:val="24"/>
          <w:szCs w:val="24"/>
        </w:rPr>
        <w:t xml:space="preserve">1. </w:t>
      </w:r>
      <w:r w:rsidR="003D3927" w:rsidRPr="00BC3310">
        <w:rPr>
          <w:rFonts w:ascii="Times New Roman" w:hAnsi="Times New Roman" w:cs="Times New Roman"/>
          <w:b/>
          <w:color w:val="auto"/>
          <w:sz w:val="24"/>
          <w:szCs w:val="24"/>
        </w:rPr>
        <w:t>Институциональные преобразования и совершенствование инфраструктуры банков.</w:t>
      </w:r>
    </w:p>
    <w:p w14:paraId="6451E275" w14:textId="77777777" w:rsidR="003D3927" w:rsidRPr="00A53E3F" w:rsidRDefault="00E733FC" w:rsidP="00A53E3F">
      <w:pPr>
        <w:pStyle w:val="a8"/>
        <w:ind w:firstLine="0"/>
        <w:jc w:val="left"/>
        <w:outlineLvl w:val="2"/>
        <w:rPr>
          <w:b/>
          <w:sz w:val="24"/>
        </w:rPr>
      </w:pPr>
      <w:r w:rsidRPr="00A53E3F">
        <w:rPr>
          <w:b/>
          <w:sz w:val="24"/>
        </w:rPr>
        <w:t xml:space="preserve">Таблица 1. </w:t>
      </w:r>
      <w:r w:rsidR="003D3927" w:rsidRPr="00A53E3F">
        <w:rPr>
          <w:b/>
          <w:sz w:val="24"/>
        </w:rPr>
        <w:t>Количество действующих банков (</w:t>
      </w:r>
      <w:r w:rsidR="00FA18F6" w:rsidRPr="00A53E3F">
        <w:rPr>
          <w:b/>
          <w:sz w:val="24"/>
        </w:rPr>
        <w:t xml:space="preserve">единиц)  </w:t>
      </w:r>
      <w:r w:rsidR="003D3927" w:rsidRPr="00A53E3F">
        <w:rPr>
          <w:b/>
          <w:sz w:val="24"/>
        </w:rPr>
        <w:t xml:space="preserve">                                     </w:t>
      </w:r>
      <w:r w:rsidR="006B0D25" w:rsidRPr="00A53E3F">
        <w:rPr>
          <w:b/>
          <w:sz w:val="24"/>
        </w:rPr>
        <w:t xml:space="preserve">                  </w:t>
      </w:r>
    </w:p>
    <w:tbl>
      <w:tblPr>
        <w:tblW w:w="949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268"/>
        <w:gridCol w:w="2126"/>
        <w:gridCol w:w="2126"/>
      </w:tblGrid>
      <w:tr w:rsidR="00C8141D" w:rsidRPr="00D6080E" w14:paraId="29AAB62A" w14:textId="77777777" w:rsidTr="00C8141D">
        <w:trPr>
          <w:trHeight w:val="276"/>
        </w:trPr>
        <w:tc>
          <w:tcPr>
            <w:tcW w:w="2977" w:type="dxa"/>
          </w:tcPr>
          <w:p w14:paraId="34699D2A" w14:textId="77777777" w:rsidR="00C8141D" w:rsidRPr="00D6080E" w:rsidRDefault="00C8141D" w:rsidP="00DA4363">
            <w:pPr>
              <w:jc w:val="center"/>
              <w:rPr>
                <w:b/>
              </w:rPr>
            </w:pPr>
            <w:r w:rsidRPr="00D6080E">
              <w:rPr>
                <w:b/>
              </w:rPr>
              <w:t>Страна</w:t>
            </w:r>
          </w:p>
        </w:tc>
        <w:tc>
          <w:tcPr>
            <w:tcW w:w="2268" w:type="dxa"/>
          </w:tcPr>
          <w:p w14:paraId="52BF14FF" w14:textId="77777777" w:rsidR="00C8141D" w:rsidRPr="00D6080E" w:rsidRDefault="00C8141D" w:rsidP="006770AA">
            <w:pPr>
              <w:jc w:val="center"/>
              <w:rPr>
                <w:b/>
                <w:lang w:val="ky-KG"/>
              </w:rPr>
            </w:pPr>
            <w:r w:rsidRPr="00D6080E">
              <w:rPr>
                <w:b/>
                <w:lang w:val="ky-KG"/>
              </w:rPr>
              <w:t>31.12.2020</w:t>
            </w:r>
          </w:p>
        </w:tc>
        <w:tc>
          <w:tcPr>
            <w:tcW w:w="2126" w:type="dxa"/>
          </w:tcPr>
          <w:p w14:paraId="07955215" w14:textId="77777777" w:rsidR="00C8141D" w:rsidRPr="00D6080E" w:rsidRDefault="00C8141D" w:rsidP="006770AA">
            <w:pPr>
              <w:jc w:val="center"/>
              <w:rPr>
                <w:b/>
                <w:lang w:val="ky-KG"/>
              </w:rPr>
            </w:pPr>
            <w:r w:rsidRPr="00D6080E">
              <w:rPr>
                <w:b/>
                <w:lang w:val="ky-KG"/>
              </w:rPr>
              <w:t>31.12.2021</w:t>
            </w:r>
          </w:p>
        </w:tc>
        <w:tc>
          <w:tcPr>
            <w:tcW w:w="2126" w:type="dxa"/>
          </w:tcPr>
          <w:p w14:paraId="067AA222" w14:textId="77777777" w:rsidR="00C8141D" w:rsidRPr="00D6080E" w:rsidRDefault="00C8141D" w:rsidP="006770AA">
            <w:pPr>
              <w:jc w:val="center"/>
              <w:rPr>
                <w:b/>
                <w:lang w:val="ky-KG"/>
              </w:rPr>
            </w:pPr>
            <w:r w:rsidRPr="00D6080E">
              <w:rPr>
                <w:b/>
                <w:lang w:val="ky-KG"/>
              </w:rPr>
              <w:t>31.12.2022</w:t>
            </w:r>
          </w:p>
        </w:tc>
      </w:tr>
      <w:tr w:rsidR="00C8141D" w:rsidRPr="00D6080E" w14:paraId="734C23DF" w14:textId="77777777" w:rsidTr="00C8141D">
        <w:trPr>
          <w:trHeight w:val="179"/>
        </w:trPr>
        <w:tc>
          <w:tcPr>
            <w:tcW w:w="2977" w:type="dxa"/>
          </w:tcPr>
          <w:p w14:paraId="151B2B7F" w14:textId="77777777" w:rsidR="00C8141D" w:rsidRPr="00D6080E" w:rsidRDefault="00C8141D" w:rsidP="00C8141D">
            <w:pPr>
              <w:jc w:val="both"/>
              <w:rPr>
                <w:lang w:val="ky-KG"/>
              </w:rPr>
            </w:pPr>
            <w:r w:rsidRPr="00D6080E">
              <w:rPr>
                <w:lang w:val="ky-KG"/>
              </w:rPr>
              <w:t>Республика Армения</w:t>
            </w:r>
          </w:p>
        </w:tc>
        <w:tc>
          <w:tcPr>
            <w:tcW w:w="2268" w:type="dxa"/>
          </w:tcPr>
          <w:p w14:paraId="4E60707E" w14:textId="77777777" w:rsidR="00C8141D" w:rsidRPr="00D6080E" w:rsidRDefault="00C8141D" w:rsidP="00C8141D">
            <w:pPr>
              <w:jc w:val="center"/>
              <w:rPr>
                <w:lang w:val="ky-KG"/>
              </w:rPr>
            </w:pPr>
            <w:r w:rsidRPr="00D6080E">
              <w:rPr>
                <w:lang w:val="ky-KG"/>
              </w:rPr>
              <w:t>17</w:t>
            </w:r>
          </w:p>
        </w:tc>
        <w:tc>
          <w:tcPr>
            <w:tcW w:w="2126" w:type="dxa"/>
          </w:tcPr>
          <w:p w14:paraId="64C864F1" w14:textId="77777777" w:rsidR="00C8141D" w:rsidRPr="0009690F" w:rsidRDefault="00C8141D" w:rsidP="0009690F">
            <w:pPr>
              <w:jc w:val="center"/>
              <w:rPr>
                <w:lang w:val="ky-KG"/>
              </w:rPr>
            </w:pPr>
            <w:r w:rsidRPr="0009690F">
              <w:rPr>
                <w:lang w:val="ky-KG"/>
              </w:rPr>
              <w:t>17</w:t>
            </w:r>
          </w:p>
        </w:tc>
        <w:tc>
          <w:tcPr>
            <w:tcW w:w="2126" w:type="dxa"/>
          </w:tcPr>
          <w:p w14:paraId="76D56337" w14:textId="77777777" w:rsidR="00C8141D" w:rsidRPr="0009690F" w:rsidRDefault="00C8141D" w:rsidP="0009690F">
            <w:pPr>
              <w:jc w:val="center"/>
              <w:rPr>
                <w:lang w:val="ky-KG"/>
              </w:rPr>
            </w:pPr>
            <w:r w:rsidRPr="0009690F">
              <w:rPr>
                <w:lang w:val="ky-KG"/>
              </w:rPr>
              <w:t>18</w:t>
            </w:r>
          </w:p>
        </w:tc>
      </w:tr>
      <w:tr w:rsidR="0009690F" w:rsidRPr="00D6080E" w14:paraId="55EFA655" w14:textId="77777777" w:rsidTr="00C8141D">
        <w:trPr>
          <w:trHeight w:val="70"/>
        </w:trPr>
        <w:tc>
          <w:tcPr>
            <w:tcW w:w="2977" w:type="dxa"/>
          </w:tcPr>
          <w:p w14:paraId="4B091B9F" w14:textId="77777777" w:rsidR="0009690F" w:rsidRPr="00D6080E" w:rsidRDefault="0009690F" w:rsidP="0009690F">
            <w:pPr>
              <w:jc w:val="both"/>
            </w:pPr>
            <w:r w:rsidRPr="00D6080E">
              <w:t>Республика Беларусь</w:t>
            </w:r>
          </w:p>
        </w:tc>
        <w:tc>
          <w:tcPr>
            <w:tcW w:w="2268" w:type="dxa"/>
          </w:tcPr>
          <w:p w14:paraId="3775751C" w14:textId="77777777" w:rsidR="0009690F" w:rsidRPr="00D6080E" w:rsidRDefault="0009690F" w:rsidP="0009690F">
            <w:pPr>
              <w:jc w:val="center"/>
            </w:pPr>
            <w:r w:rsidRPr="00D6080E">
              <w:t>24</w:t>
            </w:r>
          </w:p>
        </w:tc>
        <w:tc>
          <w:tcPr>
            <w:tcW w:w="2126" w:type="dxa"/>
          </w:tcPr>
          <w:p w14:paraId="301A7E8D" w14:textId="77777777" w:rsidR="0009690F" w:rsidRPr="0009690F" w:rsidRDefault="0009690F" w:rsidP="0009690F">
            <w:pPr>
              <w:jc w:val="center"/>
              <w:rPr>
                <w:lang w:val="ky-KG"/>
              </w:rPr>
            </w:pPr>
            <w:r w:rsidRPr="0009690F">
              <w:rPr>
                <w:lang w:val="ky-KG"/>
              </w:rPr>
              <w:t>23</w:t>
            </w:r>
          </w:p>
        </w:tc>
        <w:tc>
          <w:tcPr>
            <w:tcW w:w="2126" w:type="dxa"/>
          </w:tcPr>
          <w:p w14:paraId="0375B6BA" w14:textId="77777777" w:rsidR="0009690F" w:rsidRPr="0009690F" w:rsidRDefault="0009690F" w:rsidP="0009690F">
            <w:pPr>
              <w:jc w:val="center"/>
              <w:rPr>
                <w:lang w:val="ky-KG"/>
              </w:rPr>
            </w:pPr>
            <w:r w:rsidRPr="0009690F">
              <w:rPr>
                <w:lang w:val="ky-KG"/>
              </w:rPr>
              <w:t>21</w:t>
            </w:r>
          </w:p>
        </w:tc>
      </w:tr>
      <w:tr w:rsidR="00C8141D" w:rsidRPr="00D6080E" w14:paraId="63532D70" w14:textId="77777777" w:rsidTr="00C8141D">
        <w:trPr>
          <w:trHeight w:val="82"/>
        </w:trPr>
        <w:tc>
          <w:tcPr>
            <w:tcW w:w="2977" w:type="dxa"/>
          </w:tcPr>
          <w:p w14:paraId="65CCDD86" w14:textId="77777777" w:rsidR="00C8141D" w:rsidRPr="00D6080E" w:rsidRDefault="00C8141D" w:rsidP="00C8141D">
            <w:pPr>
              <w:jc w:val="both"/>
            </w:pPr>
            <w:r w:rsidRPr="00D6080E">
              <w:t>Республика Казахстан</w:t>
            </w:r>
          </w:p>
        </w:tc>
        <w:tc>
          <w:tcPr>
            <w:tcW w:w="2268" w:type="dxa"/>
          </w:tcPr>
          <w:p w14:paraId="7F5B44ED" w14:textId="77777777" w:rsidR="00C8141D" w:rsidRPr="00D6080E" w:rsidRDefault="00C8141D" w:rsidP="00C8141D">
            <w:pPr>
              <w:jc w:val="center"/>
            </w:pPr>
            <w:r w:rsidRPr="00D6080E">
              <w:t>26</w:t>
            </w:r>
          </w:p>
        </w:tc>
        <w:tc>
          <w:tcPr>
            <w:tcW w:w="2126" w:type="dxa"/>
          </w:tcPr>
          <w:p w14:paraId="6B7043D6" w14:textId="77777777" w:rsidR="00C8141D" w:rsidRPr="0009690F" w:rsidRDefault="00C8141D" w:rsidP="0009690F">
            <w:pPr>
              <w:jc w:val="center"/>
              <w:rPr>
                <w:lang w:val="ky-KG"/>
              </w:rPr>
            </w:pPr>
            <w:r w:rsidRPr="0009690F">
              <w:rPr>
                <w:lang w:val="ky-KG"/>
              </w:rPr>
              <w:t>22</w:t>
            </w:r>
          </w:p>
        </w:tc>
        <w:tc>
          <w:tcPr>
            <w:tcW w:w="2126" w:type="dxa"/>
          </w:tcPr>
          <w:p w14:paraId="4CE75FCE" w14:textId="77777777" w:rsidR="00C8141D" w:rsidRPr="0009690F" w:rsidRDefault="00C8141D" w:rsidP="0009690F">
            <w:pPr>
              <w:jc w:val="center"/>
              <w:rPr>
                <w:lang w:val="ky-KG"/>
              </w:rPr>
            </w:pPr>
            <w:r w:rsidRPr="0009690F">
              <w:rPr>
                <w:lang w:val="ky-KG"/>
              </w:rPr>
              <w:t>21</w:t>
            </w:r>
          </w:p>
        </w:tc>
      </w:tr>
      <w:tr w:rsidR="00C8141D" w:rsidRPr="00D6080E" w14:paraId="31ED97F1" w14:textId="77777777" w:rsidTr="00C8141D">
        <w:trPr>
          <w:trHeight w:val="64"/>
        </w:trPr>
        <w:tc>
          <w:tcPr>
            <w:tcW w:w="2977" w:type="dxa"/>
          </w:tcPr>
          <w:p w14:paraId="09030618" w14:textId="77777777" w:rsidR="00C8141D" w:rsidRPr="00D6080E" w:rsidRDefault="00C8141D" w:rsidP="00C8141D">
            <w:pPr>
              <w:jc w:val="both"/>
            </w:pPr>
            <w:r w:rsidRPr="00D6080E">
              <w:t>Кыргызская Республика</w:t>
            </w:r>
          </w:p>
        </w:tc>
        <w:tc>
          <w:tcPr>
            <w:tcW w:w="2268" w:type="dxa"/>
          </w:tcPr>
          <w:p w14:paraId="540D897B" w14:textId="77777777" w:rsidR="00C8141D" w:rsidRPr="00D6080E" w:rsidRDefault="00C8141D" w:rsidP="00C8141D">
            <w:pPr>
              <w:jc w:val="center"/>
              <w:rPr>
                <w:lang w:val="ky-KG"/>
              </w:rPr>
            </w:pPr>
            <w:r w:rsidRPr="00D6080E">
              <w:rPr>
                <w:lang w:val="ky-KG"/>
              </w:rPr>
              <w:t>23</w:t>
            </w:r>
          </w:p>
        </w:tc>
        <w:tc>
          <w:tcPr>
            <w:tcW w:w="2126" w:type="dxa"/>
          </w:tcPr>
          <w:p w14:paraId="26600775" w14:textId="77777777" w:rsidR="00C8141D" w:rsidRPr="0009690F" w:rsidRDefault="00C8141D" w:rsidP="0009690F">
            <w:pPr>
              <w:jc w:val="center"/>
              <w:rPr>
                <w:lang w:val="ky-KG"/>
              </w:rPr>
            </w:pPr>
            <w:r w:rsidRPr="0009690F">
              <w:rPr>
                <w:lang w:val="ky-KG"/>
              </w:rPr>
              <w:t>23</w:t>
            </w:r>
          </w:p>
        </w:tc>
        <w:tc>
          <w:tcPr>
            <w:tcW w:w="2126" w:type="dxa"/>
          </w:tcPr>
          <w:p w14:paraId="4D0AC9D4" w14:textId="77777777" w:rsidR="00C8141D" w:rsidRPr="0009690F" w:rsidRDefault="00C8141D" w:rsidP="0009690F">
            <w:pPr>
              <w:jc w:val="center"/>
              <w:rPr>
                <w:lang w:val="ky-KG"/>
              </w:rPr>
            </w:pPr>
            <w:r w:rsidRPr="0009690F">
              <w:rPr>
                <w:lang w:val="ky-KG"/>
              </w:rPr>
              <w:t>23</w:t>
            </w:r>
          </w:p>
        </w:tc>
      </w:tr>
      <w:tr w:rsidR="00C8141D" w:rsidRPr="00D6080E" w14:paraId="207A08EA" w14:textId="77777777" w:rsidTr="00C8141D">
        <w:trPr>
          <w:trHeight w:val="58"/>
        </w:trPr>
        <w:tc>
          <w:tcPr>
            <w:tcW w:w="2977" w:type="dxa"/>
          </w:tcPr>
          <w:p w14:paraId="02EACECC" w14:textId="77777777" w:rsidR="00C8141D" w:rsidRPr="00D6080E" w:rsidRDefault="00C8141D" w:rsidP="00C8141D">
            <w:pPr>
              <w:jc w:val="both"/>
            </w:pPr>
            <w:r w:rsidRPr="00D6080E">
              <w:t>Российская Федерация</w:t>
            </w:r>
            <w:r w:rsidRPr="00D6080E">
              <w:rPr>
                <w:rStyle w:val="af2"/>
              </w:rPr>
              <w:footnoteReference w:id="1"/>
            </w:r>
          </w:p>
        </w:tc>
        <w:tc>
          <w:tcPr>
            <w:tcW w:w="2268" w:type="dxa"/>
          </w:tcPr>
          <w:p w14:paraId="050C1E36" w14:textId="77777777" w:rsidR="00C8141D" w:rsidRPr="00D6080E" w:rsidRDefault="00C8141D" w:rsidP="00C8141D">
            <w:pPr>
              <w:jc w:val="center"/>
              <w:rPr>
                <w:lang w:val="ky-KG"/>
              </w:rPr>
            </w:pPr>
            <w:r w:rsidRPr="00D6080E">
              <w:rPr>
                <w:lang w:val="ky-KG"/>
              </w:rPr>
              <w:t>406</w:t>
            </w:r>
          </w:p>
        </w:tc>
        <w:tc>
          <w:tcPr>
            <w:tcW w:w="2126" w:type="dxa"/>
          </w:tcPr>
          <w:p w14:paraId="3CEFB6A4" w14:textId="77777777" w:rsidR="00C8141D" w:rsidRPr="0009690F" w:rsidRDefault="00C8141D" w:rsidP="0009690F">
            <w:pPr>
              <w:jc w:val="center"/>
              <w:rPr>
                <w:lang w:val="ky-KG"/>
              </w:rPr>
            </w:pPr>
            <w:r w:rsidRPr="0009690F">
              <w:rPr>
                <w:lang w:val="ky-KG"/>
              </w:rPr>
              <w:t>370</w:t>
            </w:r>
          </w:p>
        </w:tc>
        <w:tc>
          <w:tcPr>
            <w:tcW w:w="2126" w:type="dxa"/>
          </w:tcPr>
          <w:p w14:paraId="533E84D0" w14:textId="77777777" w:rsidR="00C8141D" w:rsidRPr="0009690F" w:rsidRDefault="00C8141D" w:rsidP="0009690F">
            <w:pPr>
              <w:jc w:val="center"/>
              <w:rPr>
                <w:lang w:val="ky-KG"/>
              </w:rPr>
            </w:pPr>
            <w:r w:rsidRPr="0009690F">
              <w:rPr>
                <w:lang w:val="ky-KG"/>
              </w:rPr>
              <w:t>361</w:t>
            </w:r>
          </w:p>
        </w:tc>
      </w:tr>
      <w:tr w:rsidR="00C8141D" w:rsidRPr="00D6080E" w14:paraId="372196FF" w14:textId="77777777" w:rsidTr="00C8141D">
        <w:trPr>
          <w:trHeight w:val="103"/>
        </w:trPr>
        <w:tc>
          <w:tcPr>
            <w:tcW w:w="2977" w:type="dxa"/>
          </w:tcPr>
          <w:p w14:paraId="04B4BB53" w14:textId="77777777" w:rsidR="00C8141D" w:rsidRPr="00D6080E" w:rsidRDefault="00C8141D" w:rsidP="00C8141D">
            <w:pPr>
              <w:jc w:val="both"/>
            </w:pPr>
            <w:r w:rsidRPr="00D6080E">
              <w:t>Республика Таджикистан</w:t>
            </w:r>
          </w:p>
        </w:tc>
        <w:tc>
          <w:tcPr>
            <w:tcW w:w="2268" w:type="dxa"/>
          </w:tcPr>
          <w:p w14:paraId="2483091D" w14:textId="77777777" w:rsidR="00C8141D" w:rsidRPr="00D6080E" w:rsidRDefault="00C8141D" w:rsidP="00C8141D">
            <w:pPr>
              <w:jc w:val="center"/>
              <w:rPr>
                <w:lang w:val="ky-KG"/>
              </w:rPr>
            </w:pPr>
            <w:r w:rsidRPr="00D6080E">
              <w:rPr>
                <w:lang w:val="ky-KG"/>
              </w:rPr>
              <w:t>19</w:t>
            </w:r>
          </w:p>
        </w:tc>
        <w:tc>
          <w:tcPr>
            <w:tcW w:w="2126" w:type="dxa"/>
          </w:tcPr>
          <w:p w14:paraId="52016C95" w14:textId="77777777" w:rsidR="00C8141D" w:rsidRPr="0009690F" w:rsidRDefault="00C8141D" w:rsidP="0009690F">
            <w:pPr>
              <w:jc w:val="center"/>
              <w:rPr>
                <w:lang w:val="ky-KG"/>
              </w:rPr>
            </w:pPr>
            <w:r w:rsidRPr="0009690F">
              <w:rPr>
                <w:lang w:val="ky-KG"/>
              </w:rPr>
              <w:t>14</w:t>
            </w:r>
          </w:p>
        </w:tc>
        <w:tc>
          <w:tcPr>
            <w:tcW w:w="2126" w:type="dxa"/>
          </w:tcPr>
          <w:p w14:paraId="1BAF822C" w14:textId="77777777" w:rsidR="00C8141D" w:rsidRPr="0009690F" w:rsidRDefault="00C8141D" w:rsidP="0009690F">
            <w:pPr>
              <w:jc w:val="center"/>
              <w:rPr>
                <w:lang w:val="ky-KG"/>
              </w:rPr>
            </w:pPr>
            <w:r w:rsidRPr="0009690F">
              <w:rPr>
                <w:lang w:val="ky-KG"/>
              </w:rPr>
              <w:t>15</w:t>
            </w:r>
          </w:p>
        </w:tc>
      </w:tr>
    </w:tbl>
    <w:p w14:paraId="1EAA7347" w14:textId="77777777" w:rsidR="00A31AD7" w:rsidRPr="00D6080E" w:rsidRDefault="00A31AD7" w:rsidP="005A7F34">
      <w:pPr>
        <w:ind w:firstLine="708"/>
        <w:jc w:val="both"/>
      </w:pPr>
    </w:p>
    <w:p w14:paraId="0C153EF1" w14:textId="77777777" w:rsidR="003D3927" w:rsidRPr="00D6080E" w:rsidRDefault="003D3927" w:rsidP="005A7F34">
      <w:pPr>
        <w:ind w:firstLine="708"/>
        <w:jc w:val="both"/>
      </w:pPr>
      <w:r w:rsidRPr="00D6080E">
        <w:t xml:space="preserve">Количество действующих банков в странах Сообщества можно считать стабильным. Некоторая тенденция к сокращению их числа прослеживается </w:t>
      </w:r>
      <w:r w:rsidR="0082262E" w:rsidRPr="00D6080E">
        <w:t xml:space="preserve">в Российской Федерации, в </w:t>
      </w:r>
      <w:r w:rsidR="00236671" w:rsidRPr="00D6080E">
        <w:rPr>
          <w:lang w:val="ky-KG"/>
        </w:rPr>
        <w:t>Республике</w:t>
      </w:r>
      <w:r w:rsidRPr="00D6080E">
        <w:t xml:space="preserve"> </w:t>
      </w:r>
      <w:r w:rsidR="000F78A8" w:rsidRPr="00D6080E">
        <w:rPr>
          <w:lang w:val="ky-KG"/>
        </w:rPr>
        <w:t>Беларусь</w:t>
      </w:r>
      <w:r w:rsidRPr="00D6080E">
        <w:t xml:space="preserve"> </w:t>
      </w:r>
      <w:r w:rsidR="000F78A8" w:rsidRPr="00D6080E">
        <w:t xml:space="preserve">и в </w:t>
      </w:r>
      <w:r w:rsidR="00236671" w:rsidRPr="00D6080E">
        <w:rPr>
          <w:lang w:val="ky-KG"/>
        </w:rPr>
        <w:t xml:space="preserve">Республике </w:t>
      </w:r>
      <w:r w:rsidR="00DC4D91" w:rsidRPr="00D6080E">
        <w:t>Казахстан.</w:t>
      </w:r>
    </w:p>
    <w:p w14:paraId="1964EB71" w14:textId="4FA9038D" w:rsidR="00AF3755" w:rsidRDefault="00AF3755" w:rsidP="005A7F34">
      <w:pPr>
        <w:ind w:firstLine="708"/>
        <w:jc w:val="both"/>
        <w:rPr>
          <w:sz w:val="16"/>
          <w:szCs w:val="16"/>
        </w:rPr>
      </w:pPr>
    </w:p>
    <w:p w14:paraId="28299A61" w14:textId="77777777" w:rsidR="003D3927" w:rsidRPr="009B7ABC" w:rsidRDefault="003D3927" w:rsidP="005A7F34">
      <w:pPr>
        <w:pStyle w:val="a8"/>
        <w:rPr>
          <w:b/>
          <w:sz w:val="24"/>
        </w:rPr>
      </w:pPr>
      <w:r w:rsidRPr="009B7ABC">
        <w:rPr>
          <w:b/>
          <w:sz w:val="24"/>
        </w:rPr>
        <w:t xml:space="preserve">Динамика и структура зарегистрированного уставного капитала действующих банков. </w:t>
      </w:r>
    </w:p>
    <w:p w14:paraId="5F14535A" w14:textId="77777777" w:rsidR="003D3927" w:rsidRPr="00D6080E" w:rsidRDefault="003D3927" w:rsidP="005A7F34">
      <w:pPr>
        <w:pStyle w:val="a8"/>
        <w:rPr>
          <w:sz w:val="24"/>
          <w:lang w:val="ky-KG"/>
        </w:rPr>
      </w:pPr>
      <w:r w:rsidRPr="009B7ABC">
        <w:rPr>
          <w:sz w:val="24"/>
        </w:rPr>
        <w:t xml:space="preserve">Зарегистрированный уставный капитал банков, </w:t>
      </w:r>
      <w:r w:rsidR="00B07EB9" w:rsidRPr="009B7ABC">
        <w:rPr>
          <w:sz w:val="24"/>
        </w:rPr>
        <w:t>оцененный в</w:t>
      </w:r>
      <w:r w:rsidRPr="009B7ABC">
        <w:rPr>
          <w:sz w:val="24"/>
        </w:rPr>
        <w:t xml:space="preserve"> </w:t>
      </w:r>
      <w:r w:rsidR="00B07EB9" w:rsidRPr="009B7ABC">
        <w:rPr>
          <w:sz w:val="24"/>
        </w:rPr>
        <w:t>иностранной валюте</w:t>
      </w:r>
      <w:r w:rsidRPr="009B7ABC">
        <w:rPr>
          <w:sz w:val="24"/>
        </w:rPr>
        <w:t>, в 20</w:t>
      </w:r>
      <w:r w:rsidR="0082262E" w:rsidRPr="009B7ABC">
        <w:rPr>
          <w:sz w:val="24"/>
        </w:rPr>
        <w:t>2</w:t>
      </w:r>
      <w:r w:rsidR="003964C2">
        <w:rPr>
          <w:sz w:val="24"/>
          <w:lang w:val="ky-KG"/>
        </w:rPr>
        <w:t>2</w:t>
      </w:r>
      <w:r w:rsidRPr="009B7ABC">
        <w:rPr>
          <w:sz w:val="24"/>
        </w:rPr>
        <w:t xml:space="preserve"> </w:t>
      </w:r>
      <w:r w:rsidR="00C86043" w:rsidRPr="009B7ABC">
        <w:rPr>
          <w:sz w:val="24"/>
        </w:rPr>
        <w:t xml:space="preserve">году </w:t>
      </w:r>
      <w:r w:rsidRPr="009B7ABC">
        <w:rPr>
          <w:sz w:val="24"/>
        </w:rPr>
        <w:t xml:space="preserve">имел тенденцию </w:t>
      </w:r>
      <w:r w:rsidR="0082262E" w:rsidRPr="009B7ABC">
        <w:rPr>
          <w:sz w:val="24"/>
        </w:rPr>
        <w:t xml:space="preserve">к </w:t>
      </w:r>
      <w:r w:rsidR="005D1C95" w:rsidRPr="009B7ABC">
        <w:rPr>
          <w:sz w:val="24"/>
          <w:lang w:val="ky-KG"/>
        </w:rPr>
        <w:t>росту</w:t>
      </w:r>
      <w:r w:rsidR="0082262E" w:rsidRPr="009B7ABC">
        <w:rPr>
          <w:sz w:val="24"/>
          <w:lang w:val="ky-KG"/>
        </w:rPr>
        <w:t xml:space="preserve"> во всех странах</w:t>
      </w:r>
      <w:r w:rsidR="005D1C95" w:rsidRPr="009B7ABC">
        <w:rPr>
          <w:sz w:val="24"/>
          <w:lang w:val="ky-KG"/>
        </w:rPr>
        <w:t xml:space="preserve">, за исключением Республики </w:t>
      </w:r>
      <w:r w:rsidR="003964C2" w:rsidRPr="003964C2">
        <w:rPr>
          <w:sz w:val="24"/>
          <w:lang w:val="ky-KG"/>
        </w:rPr>
        <w:t>Казахстан</w:t>
      </w:r>
      <w:r w:rsidR="005D1C95" w:rsidRPr="00D6080E">
        <w:rPr>
          <w:sz w:val="24"/>
        </w:rPr>
        <w:t>.</w:t>
      </w:r>
    </w:p>
    <w:p w14:paraId="29CE94EA" w14:textId="77777777" w:rsidR="00DA29F0" w:rsidRPr="00867AAA" w:rsidRDefault="00DA29F0" w:rsidP="005A7F34">
      <w:pPr>
        <w:pStyle w:val="a8"/>
        <w:rPr>
          <w:sz w:val="4"/>
          <w:szCs w:val="4"/>
        </w:rPr>
      </w:pPr>
    </w:p>
    <w:p w14:paraId="75339A17" w14:textId="77777777" w:rsidR="00E733FC" w:rsidRPr="00C8141D" w:rsidRDefault="00E733FC" w:rsidP="00A53E3F">
      <w:pPr>
        <w:pStyle w:val="a8"/>
        <w:ind w:firstLine="0"/>
        <w:jc w:val="left"/>
        <w:outlineLvl w:val="2"/>
        <w:rPr>
          <w:sz w:val="24"/>
        </w:rPr>
      </w:pPr>
      <w:r w:rsidRPr="00D6080E">
        <w:rPr>
          <w:b/>
          <w:sz w:val="24"/>
          <w:lang w:val="ky-KG"/>
        </w:rPr>
        <w:t>Т</w:t>
      </w:r>
      <w:proofErr w:type="spellStart"/>
      <w:r w:rsidR="00662241" w:rsidRPr="00D6080E">
        <w:rPr>
          <w:b/>
          <w:sz w:val="24"/>
        </w:rPr>
        <w:t>абл</w:t>
      </w:r>
      <w:proofErr w:type="spellEnd"/>
      <w:r w:rsidRPr="00D6080E">
        <w:rPr>
          <w:b/>
          <w:sz w:val="24"/>
          <w:lang w:val="ky-KG"/>
        </w:rPr>
        <w:t>ица</w:t>
      </w:r>
      <w:r w:rsidRPr="00D6080E">
        <w:rPr>
          <w:b/>
          <w:sz w:val="24"/>
        </w:rPr>
        <w:t xml:space="preserve"> 2</w:t>
      </w:r>
      <w:r w:rsidRPr="00D6080E">
        <w:rPr>
          <w:b/>
          <w:sz w:val="24"/>
          <w:lang w:val="ky-KG"/>
        </w:rPr>
        <w:t xml:space="preserve">. </w:t>
      </w:r>
      <w:r w:rsidRPr="00D6080E">
        <w:rPr>
          <w:b/>
          <w:sz w:val="24"/>
        </w:rPr>
        <w:t>Совокупный</w:t>
      </w:r>
      <w:r w:rsidRPr="00C8141D">
        <w:rPr>
          <w:b/>
          <w:sz w:val="24"/>
        </w:rPr>
        <w:t xml:space="preserve"> зарегистрированный уставный капитал банков.</w:t>
      </w:r>
    </w:p>
    <w:p w14:paraId="57AB5053" w14:textId="77777777" w:rsidR="003D3927" w:rsidRPr="00DD1974" w:rsidRDefault="008954CD" w:rsidP="005A7F34">
      <w:pPr>
        <w:pStyle w:val="a8"/>
        <w:rPr>
          <w:sz w:val="24"/>
          <w:highlight w:val="yellow"/>
        </w:rPr>
      </w:pPr>
      <w:r w:rsidRPr="00C8141D">
        <w:rPr>
          <w:sz w:val="24"/>
          <w:lang w:val="ky-KG"/>
        </w:rPr>
        <w:t xml:space="preserve">                                                                                                 </w:t>
      </w:r>
      <w:r w:rsidR="003D3927" w:rsidRPr="00C8141D">
        <w:rPr>
          <w:sz w:val="24"/>
        </w:rPr>
        <w:t xml:space="preserve"> (</w:t>
      </w:r>
      <w:r w:rsidR="0084172B" w:rsidRPr="008F5F01">
        <w:rPr>
          <w:sz w:val="24"/>
        </w:rPr>
        <w:t>эквивалент млн.</w:t>
      </w:r>
      <w:r w:rsidR="003D3927" w:rsidRPr="008F5F01">
        <w:rPr>
          <w:sz w:val="24"/>
        </w:rPr>
        <w:t xml:space="preserve"> долл. </w:t>
      </w:r>
      <w:r w:rsidR="0084172B" w:rsidRPr="008F5F01">
        <w:rPr>
          <w:sz w:val="24"/>
        </w:rPr>
        <w:t>США)</w:t>
      </w:r>
      <w:r w:rsidR="003D3927" w:rsidRPr="008F5F01">
        <w:rPr>
          <w:sz w:val="24"/>
        </w:rPr>
        <w:t xml:space="preserve">                                             </w:t>
      </w:r>
    </w:p>
    <w:tbl>
      <w:tblPr>
        <w:tblW w:w="95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6"/>
        <w:gridCol w:w="2285"/>
        <w:gridCol w:w="2113"/>
        <w:gridCol w:w="2114"/>
      </w:tblGrid>
      <w:tr w:rsidR="00C8141D" w:rsidRPr="00C8141D" w14:paraId="37D9582C" w14:textId="77777777" w:rsidTr="008F5F01">
        <w:tc>
          <w:tcPr>
            <w:tcW w:w="3006" w:type="dxa"/>
          </w:tcPr>
          <w:p w14:paraId="6235769D" w14:textId="77777777" w:rsidR="00C8141D" w:rsidRPr="00C8141D" w:rsidRDefault="00C8141D" w:rsidP="00C8141D">
            <w:pPr>
              <w:jc w:val="center"/>
              <w:rPr>
                <w:b/>
              </w:rPr>
            </w:pPr>
            <w:r w:rsidRPr="00C8141D">
              <w:rPr>
                <w:b/>
              </w:rPr>
              <w:t>Страны</w:t>
            </w:r>
          </w:p>
        </w:tc>
        <w:tc>
          <w:tcPr>
            <w:tcW w:w="2285" w:type="dxa"/>
          </w:tcPr>
          <w:p w14:paraId="3814458B" w14:textId="77777777" w:rsidR="00C8141D" w:rsidRPr="00C8141D" w:rsidRDefault="00C8141D" w:rsidP="00C8141D">
            <w:pPr>
              <w:jc w:val="center"/>
              <w:rPr>
                <w:b/>
                <w:lang w:val="ky-KG"/>
              </w:rPr>
            </w:pPr>
            <w:r w:rsidRPr="00C8141D">
              <w:rPr>
                <w:b/>
                <w:lang w:val="ky-KG"/>
              </w:rPr>
              <w:t>31.12.2020</w:t>
            </w:r>
          </w:p>
        </w:tc>
        <w:tc>
          <w:tcPr>
            <w:tcW w:w="2113" w:type="dxa"/>
          </w:tcPr>
          <w:p w14:paraId="7CBCBD89" w14:textId="77777777" w:rsidR="00C8141D" w:rsidRPr="00C8141D" w:rsidRDefault="00C8141D" w:rsidP="00C8141D">
            <w:pPr>
              <w:jc w:val="center"/>
              <w:rPr>
                <w:b/>
                <w:lang w:val="ky-KG"/>
              </w:rPr>
            </w:pPr>
            <w:r w:rsidRPr="00C8141D">
              <w:rPr>
                <w:b/>
                <w:lang w:val="ky-KG"/>
              </w:rPr>
              <w:t>31.12.2021</w:t>
            </w:r>
          </w:p>
        </w:tc>
        <w:tc>
          <w:tcPr>
            <w:tcW w:w="2114" w:type="dxa"/>
          </w:tcPr>
          <w:p w14:paraId="6FC01B04" w14:textId="77777777" w:rsidR="00C8141D" w:rsidRPr="00C8141D" w:rsidRDefault="00C8141D" w:rsidP="00C8141D">
            <w:pPr>
              <w:ind w:left="171" w:hanging="171"/>
              <w:jc w:val="center"/>
              <w:rPr>
                <w:b/>
                <w:lang w:val="ky-KG"/>
              </w:rPr>
            </w:pPr>
            <w:r w:rsidRPr="00C8141D">
              <w:rPr>
                <w:b/>
                <w:lang w:val="ky-KG"/>
              </w:rPr>
              <w:t>31.12.202</w:t>
            </w:r>
            <w:r>
              <w:rPr>
                <w:b/>
                <w:lang w:val="ky-KG"/>
              </w:rPr>
              <w:t>2</w:t>
            </w:r>
          </w:p>
        </w:tc>
      </w:tr>
      <w:tr w:rsidR="00C8141D" w:rsidRPr="00C8141D" w14:paraId="536C907D" w14:textId="77777777" w:rsidTr="008F5F01">
        <w:tc>
          <w:tcPr>
            <w:tcW w:w="3006" w:type="dxa"/>
          </w:tcPr>
          <w:p w14:paraId="2818633B" w14:textId="77777777" w:rsidR="00C8141D" w:rsidRPr="00C8141D" w:rsidRDefault="00C8141D" w:rsidP="00C8141D">
            <w:pPr>
              <w:jc w:val="both"/>
              <w:rPr>
                <w:lang w:val="ky-KG"/>
              </w:rPr>
            </w:pPr>
            <w:r w:rsidRPr="00C8141D">
              <w:rPr>
                <w:lang w:val="ky-KG"/>
              </w:rPr>
              <w:t>Респблика Армения</w:t>
            </w:r>
          </w:p>
        </w:tc>
        <w:tc>
          <w:tcPr>
            <w:tcW w:w="2285" w:type="dxa"/>
          </w:tcPr>
          <w:p w14:paraId="4AA3A0B4" w14:textId="77777777" w:rsidR="00C8141D" w:rsidRPr="00956344" w:rsidRDefault="00C8141D" w:rsidP="00C8141D">
            <w:pPr>
              <w:jc w:val="right"/>
              <w:rPr>
                <w:lang w:val="ky-KG"/>
              </w:rPr>
            </w:pPr>
            <w:r w:rsidRPr="00956344">
              <w:rPr>
                <w:lang w:val="ky-KG"/>
              </w:rPr>
              <w:t>1 021,0</w:t>
            </w:r>
          </w:p>
        </w:tc>
        <w:tc>
          <w:tcPr>
            <w:tcW w:w="2113" w:type="dxa"/>
          </w:tcPr>
          <w:p w14:paraId="0259042B" w14:textId="77777777" w:rsidR="00C8141D" w:rsidRPr="00956344" w:rsidRDefault="000B7BC4" w:rsidP="000B7BC4">
            <w:pPr>
              <w:jc w:val="right"/>
              <w:rPr>
                <w:lang w:val="ky-KG"/>
              </w:rPr>
            </w:pPr>
            <w:r w:rsidRPr="00C8141D">
              <w:rPr>
                <w:lang w:val="ky-KG"/>
              </w:rPr>
              <w:t>1</w:t>
            </w:r>
            <w:r>
              <w:rPr>
                <w:lang w:val="ky-KG"/>
              </w:rPr>
              <w:t xml:space="preserve"> </w:t>
            </w:r>
            <w:r w:rsidRPr="00C8141D">
              <w:rPr>
                <w:lang w:val="ky-KG"/>
              </w:rPr>
              <w:t>088</w:t>
            </w:r>
            <w:r>
              <w:rPr>
                <w:lang w:val="ky-KG"/>
              </w:rPr>
              <w:t>,</w:t>
            </w:r>
            <w:r w:rsidRPr="00C8141D">
              <w:rPr>
                <w:lang w:val="ky-KG"/>
              </w:rPr>
              <w:t>2</w:t>
            </w:r>
          </w:p>
        </w:tc>
        <w:tc>
          <w:tcPr>
            <w:tcW w:w="2114" w:type="dxa"/>
            <w:vAlign w:val="center"/>
          </w:tcPr>
          <w:p w14:paraId="2C0192E1" w14:textId="77777777" w:rsidR="00C8141D" w:rsidRPr="00C8141D" w:rsidRDefault="000B7BC4" w:rsidP="00C8141D">
            <w:pPr>
              <w:jc w:val="right"/>
              <w:rPr>
                <w:lang w:val="ky-KG"/>
              </w:rPr>
            </w:pPr>
            <w:r w:rsidRPr="00956344">
              <w:rPr>
                <w:lang w:val="ky-KG"/>
              </w:rPr>
              <w:t>1 172,7</w:t>
            </w:r>
          </w:p>
        </w:tc>
      </w:tr>
      <w:tr w:rsidR="00C8141D" w:rsidRPr="0009690F" w14:paraId="45844526" w14:textId="77777777" w:rsidTr="008F5F01">
        <w:tc>
          <w:tcPr>
            <w:tcW w:w="3006" w:type="dxa"/>
          </w:tcPr>
          <w:p w14:paraId="06EFF896" w14:textId="77777777" w:rsidR="00C8141D" w:rsidRPr="00C8141D" w:rsidRDefault="00C8141D" w:rsidP="00C8141D">
            <w:pPr>
              <w:jc w:val="both"/>
            </w:pPr>
            <w:r w:rsidRPr="00C8141D">
              <w:t>Республика Беларусь</w:t>
            </w:r>
          </w:p>
        </w:tc>
        <w:tc>
          <w:tcPr>
            <w:tcW w:w="2285" w:type="dxa"/>
          </w:tcPr>
          <w:p w14:paraId="3F20388E" w14:textId="77777777" w:rsidR="00C8141D" w:rsidRPr="00956344" w:rsidRDefault="00C8141D" w:rsidP="00C8141D">
            <w:pPr>
              <w:jc w:val="right"/>
            </w:pPr>
            <w:r w:rsidRPr="00956344">
              <w:t>2 251,0</w:t>
            </w:r>
          </w:p>
        </w:tc>
        <w:tc>
          <w:tcPr>
            <w:tcW w:w="2113" w:type="dxa"/>
          </w:tcPr>
          <w:p w14:paraId="522683EA" w14:textId="77777777" w:rsidR="00C8141D" w:rsidRPr="00956344" w:rsidRDefault="00C8141D" w:rsidP="00C8141D">
            <w:pPr>
              <w:jc w:val="right"/>
              <w:rPr>
                <w:lang w:val="ky-KG"/>
              </w:rPr>
            </w:pPr>
            <w:r w:rsidRPr="00956344">
              <w:rPr>
                <w:lang w:val="ky-KG"/>
              </w:rPr>
              <w:t>2 601,5</w:t>
            </w:r>
          </w:p>
        </w:tc>
        <w:tc>
          <w:tcPr>
            <w:tcW w:w="2114" w:type="dxa"/>
          </w:tcPr>
          <w:p w14:paraId="2A9F8A2A" w14:textId="77777777" w:rsidR="00C8141D" w:rsidRPr="0009690F" w:rsidRDefault="0009690F" w:rsidP="00C8141D">
            <w:pPr>
              <w:jc w:val="right"/>
              <w:rPr>
                <w:lang w:val="ky-KG"/>
              </w:rPr>
            </w:pPr>
            <w:r w:rsidRPr="0009690F">
              <w:rPr>
                <w:lang w:val="ky-KG"/>
              </w:rPr>
              <w:t>3 343,7</w:t>
            </w:r>
          </w:p>
        </w:tc>
      </w:tr>
      <w:tr w:rsidR="00C8141D" w:rsidRPr="00C8141D" w14:paraId="1CE9C1A0" w14:textId="77777777" w:rsidTr="008F5F01">
        <w:tc>
          <w:tcPr>
            <w:tcW w:w="3006" w:type="dxa"/>
          </w:tcPr>
          <w:p w14:paraId="7E5D9F1D" w14:textId="77777777" w:rsidR="00C8141D" w:rsidRPr="00C8141D" w:rsidRDefault="00C8141D" w:rsidP="00C8141D">
            <w:pPr>
              <w:jc w:val="both"/>
            </w:pPr>
            <w:r w:rsidRPr="00C8141D">
              <w:t>Республика Казахстан</w:t>
            </w:r>
          </w:p>
        </w:tc>
        <w:tc>
          <w:tcPr>
            <w:tcW w:w="2285" w:type="dxa"/>
          </w:tcPr>
          <w:p w14:paraId="68AE1358" w14:textId="77777777" w:rsidR="00C8141D" w:rsidRPr="00956344" w:rsidRDefault="00C8141D" w:rsidP="00C8141D">
            <w:pPr>
              <w:jc w:val="right"/>
            </w:pPr>
            <w:r w:rsidRPr="00956344">
              <w:t>4 200,9</w:t>
            </w:r>
          </w:p>
        </w:tc>
        <w:tc>
          <w:tcPr>
            <w:tcW w:w="2113" w:type="dxa"/>
          </w:tcPr>
          <w:p w14:paraId="792901E3" w14:textId="77777777" w:rsidR="00C8141D" w:rsidRPr="00956344" w:rsidRDefault="00C8141D" w:rsidP="00C8141D">
            <w:pPr>
              <w:jc w:val="right"/>
              <w:rPr>
                <w:lang w:val="ky-KG"/>
              </w:rPr>
            </w:pPr>
            <w:r w:rsidRPr="00956344">
              <w:rPr>
                <w:lang w:val="ky-KG"/>
              </w:rPr>
              <w:t>3 084,2</w:t>
            </w:r>
          </w:p>
        </w:tc>
        <w:tc>
          <w:tcPr>
            <w:tcW w:w="2114" w:type="dxa"/>
          </w:tcPr>
          <w:p w14:paraId="353A6963" w14:textId="77777777" w:rsidR="00C8141D" w:rsidRPr="00C8141D" w:rsidRDefault="00C8141D" w:rsidP="00C8141D">
            <w:pPr>
              <w:jc w:val="right"/>
              <w:rPr>
                <w:lang w:val="ky-KG"/>
              </w:rPr>
            </w:pPr>
            <w:r w:rsidRPr="00C8141D">
              <w:rPr>
                <w:lang w:val="ky-KG"/>
              </w:rPr>
              <w:t>3 033,8</w:t>
            </w:r>
          </w:p>
        </w:tc>
      </w:tr>
      <w:tr w:rsidR="00C8141D" w:rsidRPr="00C8141D" w14:paraId="65DE57AA" w14:textId="77777777" w:rsidTr="008F5F01">
        <w:tc>
          <w:tcPr>
            <w:tcW w:w="3006" w:type="dxa"/>
          </w:tcPr>
          <w:p w14:paraId="4EB5D59D" w14:textId="77777777" w:rsidR="00C8141D" w:rsidRPr="00C8141D" w:rsidRDefault="00C8141D" w:rsidP="00C8141D">
            <w:pPr>
              <w:jc w:val="both"/>
            </w:pPr>
            <w:r w:rsidRPr="00C8141D">
              <w:t>Кыргызская Республика</w:t>
            </w:r>
          </w:p>
        </w:tc>
        <w:tc>
          <w:tcPr>
            <w:tcW w:w="2285" w:type="dxa"/>
          </w:tcPr>
          <w:p w14:paraId="30D0D49C" w14:textId="77777777" w:rsidR="00C8141D" w:rsidRPr="00956344" w:rsidRDefault="00C8141D" w:rsidP="00C8141D">
            <w:pPr>
              <w:jc w:val="right"/>
              <w:rPr>
                <w:lang w:val="ky-KG"/>
              </w:rPr>
            </w:pPr>
            <w:r w:rsidRPr="00956344">
              <w:rPr>
                <w:lang w:val="ky-KG"/>
              </w:rPr>
              <w:t>377,7</w:t>
            </w:r>
          </w:p>
        </w:tc>
        <w:tc>
          <w:tcPr>
            <w:tcW w:w="2113" w:type="dxa"/>
          </w:tcPr>
          <w:p w14:paraId="56791FB7" w14:textId="77777777" w:rsidR="00C8141D" w:rsidRPr="00956344" w:rsidRDefault="00C8141D" w:rsidP="00C8141D">
            <w:pPr>
              <w:jc w:val="right"/>
              <w:rPr>
                <w:lang w:val="ky-KG"/>
              </w:rPr>
            </w:pPr>
            <w:r w:rsidRPr="00956344">
              <w:rPr>
                <w:lang w:val="ky-KG"/>
              </w:rPr>
              <w:t>436,0</w:t>
            </w:r>
          </w:p>
        </w:tc>
        <w:tc>
          <w:tcPr>
            <w:tcW w:w="2114" w:type="dxa"/>
          </w:tcPr>
          <w:p w14:paraId="7FC28E69" w14:textId="77777777" w:rsidR="00C8141D" w:rsidRPr="00C8141D" w:rsidRDefault="00C8141D" w:rsidP="00C8141D">
            <w:pPr>
              <w:jc w:val="right"/>
              <w:rPr>
                <w:lang w:val="ky-KG"/>
              </w:rPr>
            </w:pPr>
            <w:r w:rsidRPr="00C8141D">
              <w:rPr>
                <w:lang w:val="ky-KG"/>
              </w:rPr>
              <w:t>517,9</w:t>
            </w:r>
          </w:p>
        </w:tc>
      </w:tr>
      <w:tr w:rsidR="00C8141D" w:rsidRPr="00C8141D" w14:paraId="23C3CA7F" w14:textId="77777777" w:rsidTr="008F5F01">
        <w:tc>
          <w:tcPr>
            <w:tcW w:w="3006" w:type="dxa"/>
          </w:tcPr>
          <w:p w14:paraId="1DD608F9" w14:textId="77777777" w:rsidR="00C8141D" w:rsidRPr="00C8141D" w:rsidRDefault="00C8141D" w:rsidP="00C8141D">
            <w:pPr>
              <w:jc w:val="both"/>
            </w:pPr>
            <w:r w:rsidRPr="00C8141D">
              <w:t>Российская Федерация</w:t>
            </w:r>
          </w:p>
        </w:tc>
        <w:tc>
          <w:tcPr>
            <w:tcW w:w="2285" w:type="dxa"/>
          </w:tcPr>
          <w:p w14:paraId="372307BB" w14:textId="77777777" w:rsidR="00C8141D" w:rsidRPr="00956344" w:rsidRDefault="00C8141D" w:rsidP="00C8141D">
            <w:pPr>
              <w:jc w:val="right"/>
              <w:rPr>
                <w:lang w:val="ky-KG"/>
              </w:rPr>
            </w:pPr>
            <w:r w:rsidRPr="00956344">
              <w:t>37 433,1</w:t>
            </w:r>
          </w:p>
        </w:tc>
        <w:tc>
          <w:tcPr>
            <w:tcW w:w="2113" w:type="dxa"/>
          </w:tcPr>
          <w:p w14:paraId="55EC7184" w14:textId="77777777" w:rsidR="00C8141D" w:rsidRPr="00956344" w:rsidRDefault="00C8141D" w:rsidP="00C8141D">
            <w:pPr>
              <w:jc w:val="right"/>
              <w:rPr>
                <w:lang w:val="ky-KG"/>
              </w:rPr>
            </w:pPr>
            <w:r w:rsidRPr="00956344">
              <w:rPr>
                <w:lang w:val="ky-KG"/>
              </w:rPr>
              <w:t>38 092,6</w:t>
            </w:r>
          </w:p>
        </w:tc>
        <w:tc>
          <w:tcPr>
            <w:tcW w:w="2114" w:type="dxa"/>
          </w:tcPr>
          <w:p w14:paraId="6ACBB3F6" w14:textId="77777777" w:rsidR="00C8141D" w:rsidRPr="00C8141D" w:rsidRDefault="00C8141D" w:rsidP="00C8141D">
            <w:pPr>
              <w:jc w:val="right"/>
              <w:rPr>
                <w:lang w:val="ky-KG"/>
              </w:rPr>
            </w:pPr>
            <w:r w:rsidRPr="00C8141D">
              <w:rPr>
                <w:lang w:val="ky-KG"/>
              </w:rPr>
              <w:t>42 140</w:t>
            </w:r>
          </w:p>
        </w:tc>
      </w:tr>
      <w:tr w:rsidR="008F5F01" w:rsidRPr="00DD1974" w14:paraId="5E6BAC18" w14:textId="77777777" w:rsidTr="008F5F01">
        <w:tc>
          <w:tcPr>
            <w:tcW w:w="3006" w:type="dxa"/>
          </w:tcPr>
          <w:p w14:paraId="293C33CB" w14:textId="77777777" w:rsidR="008F5F01" w:rsidRPr="00C8141D" w:rsidRDefault="008F5F01" w:rsidP="00C8141D">
            <w:pPr>
              <w:jc w:val="both"/>
            </w:pPr>
            <w:r w:rsidRPr="00C8141D">
              <w:t>Республика Таджикистан</w:t>
            </w:r>
          </w:p>
        </w:tc>
        <w:tc>
          <w:tcPr>
            <w:tcW w:w="2285" w:type="dxa"/>
            <w:shd w:val="clear" w:color="auto" w:fill="FFFFFF" w:themeFill="background1"/>
          </w:tcPr>
          <w:p w14:paraId="059BBB6E" w14:textId="77777777" w:rsidR="008F5F01" w:rsidRPr="00956344" w:rsidRDefault="008F5F01" w:rsidP="00C8141D">
            <w:pPr>
              <w:tabs>
                <w:tab w:val="right" w:pos="1627"/>
              </w:tabs>
              <w:jc w:val="right"/>
              <w:rPr>
                <w:color w:val="FF0000"/>
                <w:shd w:val="clear" w:color="auto" w:fill="FFFFFF" w:themeFill="background1"/>
                <w:lang w:val="ky-KG"/>
              </w:rPr>
            </w:pPr>
            <w:r w:rsidRPr="00956344">
              <w:rPr>
                <w:shd w:val="clear" w:color="auto" w:fill="FFFFFF" w:themeFill="background1"/>
                <w:lang w:val="ky-KG"/>
              </w:rPr>
              <w:t>509,5</w:t>
            </w:r>
          </w:p>
        </w:tc>
        <w:tc>
          <w:tcPr>
            <w:tcW w:w="2113" w:type="dxa"/>
            <w:shd w:val="clear" w:color="auto" w:fill="FFFFFF" w:themeFill="background1"/>
          </w:tcPr>
          <w:p w14:paraId="427225C8" w14:textId="77777777" w:rsidR="008F5F01" w:rsidRPr="00956344" w:rsidRDefault="008F5F01" w:rsidP="00C8141D">
            <w:pPr>
              <w:tabs>
                <w:tab w:val="right" w:pos="1627"/>
              </w:tabs>
              <w:jc w:val="right"/>
              <w:rPr>
                <w:shd w:val="clear" w:color="auto" w:fill="FFFFFF" w:themeFill="background1"/>
                <w:lang w:val="ky-KG"/>
              </w:rPr>
            </w:pPr>
            <w:r w:rsidRPr="00956344">
              <w:rPr>
                <w:shd w:val="clear" w:color="auto" w:fill="FFFFFF" w:themeFill="background1"/>
                <w:lang w:val="ky-KG"/>
              </w:rPr>
              <w:t>221,3</w:t>
            </w:r>
          </w:p>
        </w:tc>
        <w:tc>
          <w:tcPr>
            <w:tcW w:w="2114" w:type="dxa"/>
            <w:shd w:val="clear" w:color="auto" w:fill="FFFFFF" w:themeFill="background1"/>
          </w:tcPr>
          <w:p w14:paraId="302033B0" w14:textId="77777777" w:rsidR="008F5F01" w:rsidRPr="00C8141D" w:rsidRDefault="008F5F01" w:rsidP="00C8141D">
            <w:pPr>
              <w:jc w:val="right"/>
              <w:rPr>
                <w:lang w:val="ky-KG"/>
              </w:rPr>
            </w:pPr>
            <w:r w:rsidRPr="00C8141D">
              <w:rPr>
                <w:lang w:val="ky-KG"/>
              </w:rPr>
              <w:t>293,4</w:t>
            </w:r>
          </w:p>
        </w:tc>
      </w:tr>
    </w:tbl>
    <w:p w14:paraId="63B607A8" w14:textId="77777777" w:rsidR="003D3927" w:rsidRPr="003964C2" w:rsidRDefault="003D3927" w:rsidP="005A7F34">
      <w:pPr>
        <w:pStyle w:val="a8"/>
        <w:rPr>
          <w:sz w:val="24"/>
        </w:rPr>
      </w:pPr>
      <w:r w:rsidRPr="003964C2">
        <w:rPr>
          <w:b/>
          <w:sz w:val="24"/>
        </w:rPr>
        <w:t xml:space="preserve">Доля участия нерезидентов в совокупном зарегистрированном уставном капитале банков </w:t>
      </w:r>
      <w:r w:rsidR="003107E5" w:rsidRPr="003964C2">
        <w:rPr>
          <w:b/>
          <w:sz w:val="24"/>
        </w:rPr>
        <w:t>ЕСБ</w:t>
      </w:r>
      <w:r w:rsidRPr="003964C2">
        <w:rPr>
          <w:b/>
          <w:sz w:val="24"/>
        </w:rPr>
        <w:t>.</w:t>
      </w:r>
    </w:p>
    <w:p w14:paraId="5950AA4C" w14:textId="77777777" w:rsidR="0053135E" w:rsidRPr="003964C2" w:rsidRDefault="003D3927" w:rsidP="005A7F34">
      <w:pPr>
        <w:jc w:val="both"/>
        <w:rPr>
          <w:lang w:val="ky-KG"/>
        </w:rPr>
      </w:pPr>
      <w:r w:rsidRPr="003964C2">
        <w:tab/>
        <w:t xml:space="preserve">В банковских секторах </w:t>
      </w:r>
      <w:r w:rsidR="002F3202" w:rsidRPr="003964C2">
        <w:t xml:space="preserve">Республики Армении, Республики Беларусь, Республики Казахстан, Кыргызской Республики, Российской Федерации и Республики Таджикистан </w:t>
      </w:r>
      <w:r w:rsidRPr="003964C2">
        <w:t xml:space="preserve">представлен иностранный капитал. Как правило, его доля не превышает </w:t>
      </w:r>
      <w:r w:rsidR="00265A20" w:rsidRPr="00BE5A4A">
        <w:rPr>
          <w:lang w:val="ky-KG"/>
        </w:rPr>
        <w:t>20</w:t>
      </w:r>
      <w:r w:rsidRPr="00BE5A4A">
        <w:t>%</w:t>
      </w:r>
      <w:r w:rsidRPr="003964C2">
        <w:t xml:space="preserve"> совокупного уставного капитала. Наиболее высока доля нерезидентов в совокупном уставном капитале банков </w:t>
      </w:r>
      <w:r w:rsidR="00265A20" w:rsidRPr="003964C2">
        <w:rPr>
          <w:lang w:val="ky-KG"/>
        </w:rPr>
        <w:t>Армен</w:t>
      </w:r>
      <w:r w:rsidR="00D464BE" w:rsidRPr="003964C2">
        <w:rPr>
          <w:lang w:val="ky-KG"/>
        </w:rPr>
        <w:t xml:space="preserve">ии - </w:t>
      </w:r>
      <w:r w:rsidR="003964C2" w:rsidRPr="003964C2">
        <w:rPr>
          <w:lang w:val="ky-KG"/>
        </w:rPr>
        <w:t>63</w:t>
      </w:r>
      <w:r w:rsidR="00265A20" w:rsidRPr="003964C2">
        <w:rPr>
          <w:lang w:val="ky-KG"/>
        </w:rPr>
        <w:t>,</w:t>
      </w:r>
      <w:r w:rsidR="006205B5" w:rsidRPr="003964C2">
        <w:rPr>
          <w:lang w:val="ky-KG"/>
        </w:rPr>
        <w:t>2</w:t>
      </w:r>
      <w:r w:rsidR="003964C2" w:rsidRPr="003964C2">
        <w:rPr>
          <w:lang w:val="ky-KG"/>
        </w:rPr>
        <w:t>0</w:t>
      </w:r>
      <w:r w:rsidR="00265A20" w:rsidRPr="003964C2">
        <w:rPr>
          <w:lang w:val="ky-KG"/>
        </w:rPr>
        <w:t>%</w:t>
      </w:r>
      <w:r w:rsidR="006205B5" w:rsidRPr="003964C2">
        <w:rPr>
          <w:lang w:val="ky-KG"/>
        </w:rPr>
        <w:t>, Ка</w:t>
      </w:r>
      <w:r w:rsidR="00D41E5B" w:rsidRPr="003964C2">
        <w:rPr>
          <w:lang w:val="ky-KG"/>
        </w:rPr>
        <w:t>з</w:t>
      </w:r>
      <w:r w:rsidR="006205B5" w:rsidRPr="003964C2">
        <w:rPr>
          <w:lang w:val="ky-KG"/>
        </w:rPr>
        <w:t>ахстана – 38,</w:t>
      </w:r>
      <w:r w:rsidR="003964C2" w:rsidRPr="003964C2">
        <w:rPr>
          <w:lang w:val="ky-KG"/>
        </w:rPr>
        <w:t>1</w:t>
      </w:r>
      <w:r w:rsidR="006205B5" w:rsidRPr="003964C2">
        <w:rPr>
          <w:lang w:val="ky-KG"/>
        </w:rPr>
        <w:t>%</w:t>
      </w:r>
      <w:r w:rsidR="00DD331A" w:rsidRPr="003964C2">
        <w:rPr>
          <w:lang w:val="ky-KG"/>
        </w:rPr>
        <w:t xml:space="preserve"> и</w:t>
      </w:r>
      <w:r w:rsidR="00265A20" w:rsidRPr="003964C2">
        <w:rPr>
          <w:lang w:val="ky-KG"/>
        </w:rPr>
        <w:t xml:space="preserve"> </w:t>
      </w:r>
      <w:r w:rsidRPr="003964C2">
        <w:t>Кыргызстана</w:t>
      </w:r>
      <w:r w:rsidR="0053135E" w:rsidRPr="003964C2">
        <w:rPr>
          <w:lang w:val="ky-KG"/>
        </w:rPr>
        <w:t xml:space="preserve"> </w:t>
      </w:r>
      <w:r w:rsidR="00450B97" w:rsidRPr="003964C2">
        <w:rPr>
          <w:lang w:val="ky-KG"/>
        </w:rPr>
        <w:t>–</w:t>
      </w:r>
      <w:r w:rsidRPr="003964C2">
        <w:t xml:space="preserve"> </w:t>
      </w:r>
      <w:r w:rsidR="006205B5" w:rsidRPr="003964C2">
        <w:rPr>
          <w:lang w:val="ky-KG"/>
        </w:rPr>
        <w:t>2</w:t>
      </w:r>
      <w:r w:rsidR="003964C2" w:rsidRPr="003964C2">
        <w:rPr>
          <w:lang w:val="ky-KG"/>
        </w:rPr>
        <w:t>4</w:t>
      </w:r>
      <w:r w:rsidR="0073011D" w:rsidRPr="003964C2">
        <w:t>,</w:t>
      </w:r>
      <w:r w:rsidR="003964C2" w:rsidRPr="003964C2">
        <w:rPr>
          <w:lang w:val="ky-KG"/>
        </w:rPr>
        <w:t>5</w:t>
      </w:r>
      <w:r w:rsidR="003100C1" w:rsidRPr="003964C2">
        <w:t>%</w:t>
      </w:r>
      <w:r w:rsidR="00DD331A" w:rsidRPr="003964C2">
        <w:rPr>
          <w:lang w:val="ky-KG"/>
        </w:rPr>
        <w:t>.</w:t>
      </w:r>
    </w:p>
    <w:p w14:paraId="06A1FF87" w14:textId="77777777" w:rsidR="00CB017D" w:rsidRPr="000F58EA" w:rsidRDefault="00CB017D" w:rsidP="005A7F34">
      <w:pPr>
        <w:jc w:val="both"/>
        <w:rPr>
          <w:b/>
          <w:sz w:val="4"/>
          <w:szCs w:val="4"/>
          <w:highlight w:val="yellow"/>
          <w:lang w:val="ky-KG"/>
        </w:rPr>
      </w:pPr>
    </w:p>
    <w:p w14:paraId="0FD49053" w14:textId="77777777" w:rsidR="009366C5" w:rsidRPr="00E761F3" w:rsidRDefault="004A50B7" w:rsidP="00A53E3F">
      <w:pPr>
        <w:pStyle w:val="a8"/>
        <w:ind w:firstLine="0"/>
        <w:jc w:val="left"/>
        <w:outlineLvl w:val="2"/>
        <w:rPr>
          <w:b/>
          <w:sz w:val="24"/>
          <w:lang w:val="ky-KG"/>
        </w:rPr>
      </w:pPr>
      <w:r w:rsidRPr="00E761F3">
        <w:rPr>
          <w:b/>
          <w:sz w:val="24"/>
          <w:lang w:val="ky-KG"/>
        </w:rPr>
        <w:t xml:space="preserve">Таблица 3. </w:t>
      </w:r>
      <w:r w:rsidR="009366C5" w:rsidRPr="00E761F3">
        <w:rPr>
          <w:b/>
          <w:sz w:val="24"/>
          <w:lang w:val="ky-KG"/>
        </w:rPr>
        <w:t xml:space="preserve">Доля нерезидентов в совокупном зарегистрированном уставном капитале банковской системы </w:t>
      </w:r>
      <w:r w:rsidR="0001562A" w:rsidRPr="00E761F3">
        <w:rPr>
          <w:b/>
          <w:sz w:val="24"/>
          <w:lang w:val="ky-KG"/>
        </w:rPr>
        <w:t>ЕСБ</w:t>
      </w:r>
      <w:r w:rsidR="009366C5" w:rsidRPr="00E761F3">
        <w:rPr>
          <w:b/>
          <w:sz w:val="24"/>
          <w:lang w:val="ky-KG"/>
        </w:rPr>
        <w:t xml:space="preserve"> (в %-тах).</w:t>
      </w:r>
    </w:p>
    <w:p w14:paraId="68B16F0E" w14:textId="77777777" w:rsidR="003100C1" w:rsidRPr="003964C2" w:rsidRDefault="003100C1" w:rsidP="005A7F34">
      <w:pPr>
        <w:jc w:val="both"/>
        <w:rPr>
          <w:b/>
          <w:sz w:val="16"/>
          <w:szCs w:val="16"/>
        </w:rPr>
      </w:pP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8"/>
        <w:gridCol w:w="1766"/>
        <w:gridCol w:w="2061"/>
        <w:gridCol w:w="1843"/>
      </w:tblGrid>
      <w:tr w:rsidR="00C8141D" w:rsidRPr="003964C2" w14:paraId="529E4BC3" w14:textId="77777777" w:rsidTr="002E6518">
        <w:tc>
          <w:tcPr>
            <w:tcW w:w="3998" w:type="dxa"/>
          </w:tcPr>
          <w:p w14:paraId="79FE610C" w14:textId="77777777" w:rsidR="00C8141D" w:rsidRPr="003964C2" w:rsidRDefault="00C8141D" w:rsidP="00C8141D">
            <w:pPr>
              <w:jc w:val="center"/>
              <w:rPr>
                <w:b/>
              </w:rPr>
            </w:pPr>
            <w:r w:rsidRPr="003964C2">
              <w:rPr>
                <w:b/>
              </w:rPr>
              <w:t>Страны</w:t>
            </w:r>
          </w:p>
        </w:tc>
        <w:tc>
          <w:tcPr>
            <w:tcW w:w="1766" w:type="dxa"/>
          </w:tcPr>
          <w:p w14:paraId="2EDDF7F4" w14:textId="77777777" w:rsidR="00C8141D" w:rsidRPr="003964C2" w:rsidRDefault="00C8141D" w:rsidP="00C8141D">
            <w:pPr>
              <w:jc w:val="center"/>
              <w:rPr>
                <w:b/>
                <w:lang w:val="ky-KG"/>
              </w:rPr>
            </w:pPr>
            <w:r w:rsidRPr="003964C2">
              <w:rPr>
                <w:b/>
                <w:lang w:val="ky-KG"/>
              </w:rPr>
              <w:t>31.12.2020</w:t>
            </w:r>
          </w:p>
        </w:tc>
        <w:tc>
          <w:tcPr>
            <w:tcW w:w="2061" w:type="dxa"/>
          </w:tcPr>
          <w:p w14:paraId="147E2961" w14:textId="77777777" w:rsidR="00C8141D" w:rsidRPr="003964C2" w:rsidRDefault="00C8141D" w:rsidP="00C8141D">
            <w:pPr>
              <w:jc w:val="center"/>
              <w:rPr>
                <w:b/>
                <w:lang w:val="ky-KG"/>
              </w:rPr>
            </w:pPr>
            <w:r w:rsidRPr="003964C2">
              <w:rPr>
                <w:b/>
                <w:lang w:val="ky-KG"/>
              </w:rPr>
              <w:t>31.12.2021</w:t>
            </w:r>
          </w:p>
        </w:tc>
        <w:tc>
          <w:tcPr>
            <w:tcW w:w="1843" w:type="dxa"/>
          </w:tcPr>
          <w:p w14:paraId="47062AA1" w14:textId="77777777" w:rsidR="00C8141D" w:rsidRPr="003964C2" w:rsidRDefault="003964C2" w:rsidP="00C8141D">
            <w:pPr>
              <w:jc w:val="center"/>
              <w:rPr>
                <w:b/>
                <w:lang w:val="ky-KG"/>
              </w:rPr>
            </w:pPr>
            <w:r w:rsidRPr="003964C2">
              <w:rPr>
                <w:b/>
                <w:lang w:val="ky-KG"/>
              </w:rPr>
              <w:t>31.12.2022</w:t>
            </w:r>
          </w:p>
        </w:tc>
      </w:tr>
      <w:tr w:rsidR="00A5594B" w:rsidRPr="003964C2" w14:paraId="25895580" w14:textId="77777777" w:rsidTr="00563F18">
        <w:trPr>
          <w:trHeight w:val="70"/>
        </w:trPr>
        <w:tc>
          <w:tcPr>
            <w:tcW w:w="3998" w:type="dxa"/>
            <w:shd w:val="clear" w:color="auto" w:fill="auto"/>
          </w:tcPr>
          <w:p w14:paraId="1DCD598C" w14:textId="77777777" w:rsidR="00A5594B" w:rsidRPr="003964C2" w:rsidRDefault="00A5594B" w:rsidP="00A5594B">
            <w:pPr>
              <w:jc w:val="both"/>
              <w:rPr>
                <w:lang w:val="ky-KG"/>
              </w:rPr>
            </w:pPr>
            <w:r w:rsidRPr="003964C2">
              <w:rPr>
                <w:lang w:val="ky-KG"/>
              </w:rPr>
              <w:t>Республика Армения</w:t>
            </w:r>
          </w:p>
        </w:tc>
        <w:tc>
          <w:tcPr>
            <w:tcW w:w="1766" w:type="dxa"/>
          </w:tcPr>
          <w:p w14:paraId="69F1244D" w14:textId="77777777" w:rsidR="00A5594B" w:rsidRPr="006B4A2F" w:rsidRDefault="00A5594B" w:rsidP="00A5594B">
            <w:pPr>
              <w:jc w:val="center"/>
              <w:rPr>
                <w:lang w:val="ky-KG"/>
              </w:rPr>
            </w:pPr>
            <w:r w:rsidRPr="006B4A2F">
              <w:rPr>
                <w:lang w:val="ky-KG"/>
              </w:rPr>
              <w:t>60,35</w:t>
            </w:r>
          </w:p>
        </w:tc>
        <w:tc>
          <w:tcPr>
            <w:tcW w:w="2061" w:type="dxa"/>
            <w:vAlign w:val="center"/>
          </w:tcPr>
          <w:p w14:paraId="630A9302" w14:textId="77777777" w:rsidR="00A5594B" w:rsidRPr="006B4A2F" w:rsidRDefault="006B4A2F" w:rsidP="006B4A2F">
            <w:pPr>
              <w:jc w:val="center"/>
              <w:rPr>
                <w:lang w:val="ky-KG"/>
              </w:rPr>
            </w:pPr>
            <w:r w:rsidRPr="006B4A2F">
              <w:rPr>
                <w:lang w:val="ky-KG"/>
              </w:rPr>
              <w:t>58,</w:t>
            </w:r>
            <w:r w:rsidR="00A5594B" w:rsidRPr="006B4A2F">
              <w:rPr>
                <w:lang w:val="ky-KG"/>
              </w:rPr>
              <w:t>82</w:t>
            </w:r>
          </w:p>
        </w:tc>
        <w:tc>
          <w:tcPr>
            <w:tcW w:w="1843" w:type="dxa"/>
            <w:vAlign w:val="center"/>
          </w:tcPr>
          <w:p w14:paraId="27B6A94A" w14:textId="77777777" w:rsidR="00A5594B" w:rsidRPr="006B4A2F" w:rsidRDefault="006B4A2F" w:rsidP="006B4A2F">
            <w:pPr>
              <w:jc w:val="center"/>
              <w:rPr>
                <w:lang w:val="ky-KG"/>
              </w:rPr>
            </w:pPr>
            <w:r w:rsidRPr="006B4A2F">
              <w:rPr>
                <w:lang w:val="ky-KG"/>
              </w:rPr>
              <w:t>63,</w:t>
            </w:r>
            <w:r w:rsidR="00A5594B" w:rsidRPr="006B4A2F">
              <w:rPr>
                <w:lang w:val="ky-KG"/>
              </w:rPr>
              <w:t>20</w:t>
            </w:r>
          </w:p>
        </w:tc>
      </w:tr>
      <w:tr w:rsidR="006B4A2F" w:rsidRPr="003964C2" w14:paraId="5C02446D" w14:textId="77777777" w:rsidTr="002E6518">
        <w:trPr>
          <w:trHeight w:val="70"/>
        </w:trPr>
        <w:tc>
          <w:tcPr>
            <w:tcW w:w="3998" w:type="dxa"/>
            <w:shd w:val="clear" w:color="auto" w:fill="auto"/>
          </w:tcPr>
          <w:p w14:paraId="20A1CC45" w14:textId="77777777" w:rsidR="006B4A2F" w:rsidRPr="003964C2" w:rsidRDefault="006B4A2F" w:rsidP="006B4A2F">
            <w:pPr>
              <w:jc w:val="both"/>
            </w:pPr>
            <w:r w:rsidRPr="003964C2">
              <w:t>Республика Беларусь</w:t>
            </w:r>
          </w:p>
        </w:tc>
        <w:tc>
          <w:tcPr>
            <w:tcW w:w="1766" w:type="dxa"/>
          </w:tcPr>
          <w:p w14:paraId="7A263274" w14:textId="77777777" w:rsidR="006B4A2F" w:rsidRPr="006B4A2F" w:rsidRDefault="006B4A2F" w:rsidP="006B4A2F">
            <w:pPr>
              <w:jc w:val="center"/>
            </w:pPr>
            <w:r w:rsidRPr="006B4A2F">
              <w:t>20,0</w:t>
            </w:r>
          </w:p>
        </w:tc>
        <w:tc>
          <w:tcPr>
            <w:tcW w:w="2061" w:type="dxa"/>
          </w:tcPr>
          <w:p w14:paraId="266A7F9B" w14:textId="77777777" w:rsidR="006B4A2F" w:rsidRPr="006B4A2F" w:rsidRDefault="006B4A2F" w:rsidP="006B4A2F">
            <w:pPr>
              <w:jc w:val="center"/>
              <w:rPr>
                <w:lang w:val="ky-KG"/>
              </w:rPr>
            </w:pPr>
            <w:r w:rsidRPr="006B4A2F">
              <w:rPr>
                <w:lang w:val="ky-KG"/>
              </w:rPr>
              <w:t>17,1</w:t>
            </w:r>
          </w:p>
        </w:tc>
        <w:tc>
          <w:tcPr>
            <w:tcW w:w="1843" w:type="dxa"/>
          </w:tcPr>
          <w:p w14:paraId="5EAE33B3" w14:textId="77777777" w:rsidR="006B4A2F" w:rsidRPr="006B4A2F" w:rsidRDefault="006B4A2F" w:rsidP="006B4A2F">
            <w:pPr>
              <w:jc w:val="center"/>
              <w:rPr>
                <w:lang w:val="ky-KG"/>
              </w:rPr>
            </w:pPr>
            <w:r w:rsidRPr="006B4A2F">
              <w:rPr>
                <w:lang w:val="ky-KG"/>
              </w:rPr>
              <w:t>12,4</w:t>
            </w:r>
          </w:p>
        </w:tc>
      </w:tr>
      <w:tr w:rsidR="00A5594B" w:rsidRPr="003964C2" w14:paraId="48ABA3B9" w14:textId="77777777" w:rsidTr="000F58EA">
        <w:trPr>
          <w:trHeight w:val="77"/>
        </w:trPr>
        <w:tc>
          <w:tcPr>
            <w:tcW w:w="3998" w:type="dxa"/>
            <w:shd w:val="clear" w:color="auto" w:fill="auto"/>
          </w:tcPr>
          <w:p w14:paraId="5E07E0BD" w14:textId="77777777" w:rsidR="00A5594B" w:rsidRPr="003964C2" w:rsidRDefault="00A5594B" w:rsidP="00A5594B">
            <w:pPr>
              <w:jc w:val="both"/>
            </w:pPr>
            <w:r w:rsidRPr="003964C2">
              <w:t>Республика Казахстан</w:t>
            </w:r>
          </w:p>
        </w:tc>
        <w:tc>
          <w:tcPr>
            <w:tcW w:w="1766" w:type="dxa"/>
          </w:tcPr>
          <w:p w14:paraId="6F459603" w14:textId="77777777" w:rsidR="00A5594B" w:rsidRPr="006B4A2F" w:rsidRDefault="00A5594B" w:rsidP="00A5594B">
            <w:pPr>
              <w:jc w:val="center"/>
              <w:rPr>
                <w:lang w:val="ky-KG"/>
              </w:rPr>
            </w:pPr>
            <w:r w:rsidRPr="006B4A2F">
              <w:rPr>
                <w:lang w:val="ky-KG"/>
              </w:rPr>
              <w:t>28,2</w:t>
            </w:r>
          </w:p>
        </w:tc>
        <w:tc>
          <w:tcPr>
            <w:tcW w:w="2061" w:type="dxa"/>
          </w:tcPr>
          <w:p w14:paraId="5B98EBBF" w14:textId="77777777" w:rsidR="00A5594B" w:rsidRPr="006B4A2F" w:rsidRDefault="00A5594B" w:rsidP="006B4A2F">
            <w:pPr>
              <w:jc w:val="center"/>
              <w:rPr>
                <w:lang w:val="ky-KG"/>
              </w:rPr>
            </w:pPr>
            <w:r w:rsidRPr="006B4A2F">
              <w:rPr>
                <w:lang w:val="ky-KG"/>
              </w:rPr>
              <w:t>38,6</w:t>
            </w:r>
          </w:p>
        </w:tc>
        <w:tc>
          <w:tcPr>
            <w:tcW w:w="1843" w:type="dxa"/>
          </w:tcPr>
          <w:p w14:paraId="1498E591" w14:textId="77777777" w:rsidR="00A5594B" w:rsidRPr="006B4A2F" w:rsidRDefault="00A5594B" w:rsidP="006B4A2F">
            <w:pPr>
              <w:jc w:val="center"/>
              <w:rPr>
                <w:lang w:val="ky-KG"/>
              </w:rPr>
            </w:pPr>
            <w:r w:rsidRPr="006B4A2F">
              <w:rPr>
                <w:lang w:val="ky-KG"/>
              </w:rPr>
              <w:t>38,1</w:t>
            </w:r>
          </w:p>
        </w:tc>
      </w:tr>
      <w:tr w:rsidR="00C8141D" w:rsidRPr="003964C2" w14:paraId="5D8BB52F" w14:textId="77777777" w:rsidTr="002E6518">
        <w:tc>
          <w:tcPr>
            <w:tcW w:w="3998" w:type="dxa"/>
          </w:tcPr>
          <w:p w14:paraId="7BB4C4F3" w14:textId="77777777" w:rsidR="00C8141D" w:rsidRPr="003964C2" w:rsidRDefault="00C8141D" w:rsidP="00C8141D">
            <w:pPr>
              <w:jc w:val="both"/>
            </w:pPr>
            <w:r w:rsidRPr="003964C2">
              <w:t>Кыргызская Республика</w:t>
            </w:r>
          </w:p>
        </w:tc>
        <w:tc>
          <w:tcPr>
            <w:tcW w:w="1766" w:type="dxa"/>
          </w:tcPr>
          <w:p w14:paraId="60F488D3" w14:textId="77777777" w:rsidR="00C8141D" w:rsidRPr="006B4A2F" w:rsidRDefault="00C8141D" w:rsidP="00C8141D">
            <w:pPr>
              <w:jc w:val="center"/>
              <w:rPr>
                <w:lang w:val="ky-KG"/>
              </w:rPr>
            </w:pPr>
            <w:r w:rsidRPr="006B4A2F">
              <w:rPr>
                <w:lang w:val="ky-KG"/>
              </w:rPr>
              <w:t>30,0</w:t>
            </w:r>
          </w:p>
        </w:tc>
        <w:tc>
          <w:tcPr>
            <w:tcW w:w="2061" w:type="dxa"/>
          </w:tcPr>
          <w:p w14:paraId="2031EBE2" w14:textId="77777777" w:rsidR="00C8141D" w:rsidRPr="006B4A2F" w:rsidRDefault="00C8141D" w:rsidP="00C8141D">
            <w:pPr>
              <w:jc w:val="center"/>
              <w:rPr>
                <w:lang w:val="ky-KG"/>
              </w:rPr>
            </w:pPr>
            <w:r w:rsidRPr="006B4A2F">
              <w:rPr>
                <w:lang w:val="ky-KG"/>
              </w:rPr>
              <w:t>29,2</w:t>
            </w:r>
          </w:p>
        </w:tc>
        <w:tc>
          <w:tcPr>
            <w:tcW w:w="1843" w:type="dxa"/>
          </w:tcPr>
          <w:p w14:paraId="3632FFCA" w14:textId="77777777" w:rsidR="00C8141D" w:rsidRPr="006B4A2F" w:rsidRDefault="003964C2" w:rsidP="00C8141D">
            <w:pPr>
              <w:jc w:val="center"/>
              <w:rPr>
                <w:lang w:val="ky-KG"/>
              </w:rPr>
            </w:pPr>
            <w:r w:rsidRPr="006B4A2F">
              <w:rPr>
                <w:lang w:val="ky-KG"/>
              </w:rPr>
              <w:t>24,5</w:t>
            </w:r>
          </w:p>
        </w:tc>
      </w:tr>
      <w:tr w:rsidR="00C8141D" w:rsidRPr="003964C2" w14:paraId="609D260D" w14:textId="77777777" w:rsidTr="002E6518">
        <w:tc>
          <w:tcPr>
            <w:tcW w:w="3998" w:type="dxa"/>
          </w:tcPr>
          <w:p w14:paraId="53B2ACE1" w14:textId="77777777" w:rsidR="00C8141D" w:rsidRPr="003964C2" w:rsidRDefault="00C8141D" w:rsidP="00C8141D">
            <w:pPr>
              <w:jc w:val="both"/>
            </w:pPr>
            <w:r w:rsidRPr="003964C2">
              <w:t>Российская Федерация</w:t>
            </w:r>
          </w:p>
        </w:tc>
        <w:tc>
          <w:tcPr>
            <w:tcW w:w="1766" w:type="dxa"/>
          </w:tcPr>
          <w:p w14:paraId="089F27A8" w14:textId="77777777" w:rsidR="00C8141D" w:rsidRPr="006B4A2F" w:rsidRDefault="00C8141D" w:rsidP="00C8141D">
            <w:pPr>
              <w:jc w:val="center"/>
              <w:rPr>
                <w:lang w:val="ky-KG"/>
              </w:rPr>
            </w:pPr>
            <w:r w:rsidRPr="006B4A2F">
              <w:rPr>
                <w:lang w:val="ky-KG"/>
              </w:rPr>
              <w:t>14,37</w:t>
            </w:r>
          </w:p>
        </w:tc>
        <w:tc>
          <w:tcPr>
            <w:tcW w:w="2061" w:type="dxa"/>
          </w:tcPr>
          <w:p w14:paraId="5CC10B6E" w14:textId="77777777" w:rsidR="00C8141D" w:rsidRPr="006B4A2F" w:rsidRDefault="00C8141D" w:rsidP="00C8141D">
            <w:pPr>
              <w:jc w:val="center"/>
              <w:rPr>
                <w:lang w:val="ky-KG"/>
              </w:rPr>
            </w:pPr>
            <w:r w:rsidRPr="006B4A2F">
              <w:rPr>
                <w:lang w:val="ky-KG"/>
              </w:rPr>
              <w:t>14,31</w:t>
            </w:r>
          </w:p>
        </w:tc>
        <w:tc>
          <w:tcPr>
            <w:tcW w:w="1843" w:type="dxa"/>
          </w:tcPr>
          <w:p w14:paraId="74E06C06" w14:textId="77777777" w:rsidR="00C8141D" w:rsidRPr="006B4A2F" w:rsidRDefault="006F0FD9" w:rsidP="00C8141D">
            <w:pPr>
              <w:jc w:val="center"/>
              <w:rPr>
                <w:lang w:val="ky-KG"/>
              </w:rPr>
            </w:pPr>
            <w:r>
              <w:rPr>
                <w:lang w:val="ky-KG"/>
              </w:rPr>
              <w:t>12,10</w:t>
            </w:r>
          </w:p>
        </w:tc>
      </w:tr>
      <w:tr w:rsidR="003874F4" w:rsidRPr="00DD1974" w14:paraId="50439025" w14:textId="77777777" w:rsidTr="002E6518">
        <w:tc>
          <w:tcPr>
            <w:tcW w:w="3998" w:type="dxa"/>
          </w:tcPr>
          <w:p w14:paraId="07C9B4F1" w14:textId="77777777" w:rsidR="003874F4" w:rsidRPr="003964C2" w:rsidRDefault="003874F4" w:rsidP="003874F4">
            <w:pPr>
              <w:jc w:val="both"/>
            </w:pPr>
            <w:r w:rsidRPr="003964C2">
              <w:t>Республика Таджикистан</w:t>
            </w:r>
          </w:p>
        </w:tc>
        <w:tc>
          <w:tcPr>
            <w:tcW w:w="1766" w:type="dxa"/>
            <w:shd w:val="clear" w:color="auto" w:fill="FFFFFF" w:themeFill="background1"/>
          </w:tcPr>
          <w:p w14:paraId="602F2A76" w14:textId="77777777" w:rsidR="003874F4" w:rsidRPr="006B4A2F" w:rsidRDefault="003874F4" w:rsidP="003874F4">
            <w:pPr>
              <w:jc w:val="center"/>
              <w:rPr>
                <w:lang w:val="ky-KG"/>
              </w:rPr>
            </w:pPr>
            <w:r w:rsidRPr="006B4A2F">
              <w:rPr>
                <w:lang w:val="ky-KG"/>
              </w:rPr>
              <w:t>8,0</w:t>
            </w:r>
          </w:p>
        </w:tc>
        <w:tc>
          <w:tcPr>
            <w:tcW w:w="2061" w:type="dxa"/>
            <w:shd w:val="clear" w:color="auto" w:fill="FFFFFF" w:themeFill="background1"/>
          </w:tcPr>
          <w:p w14:paraId="0C7CD174" w14:textId="77777777" w:rsidR="003874F4" w:rsidRPr="006B4A2F" w:rsidRDefault="003874F4" w:rsidP="003874F4">
            <w:pPr>
              <w:jc w:val="center"/>
              <w:rPr>
                <w:lang w:val="ky-KG"/>
              </w:rPr>
            </w:pPr>
            <w:r>
              <w:rPr>
                <w:lang w:val="ky-KG"/>
              </w:rPr>
              <w:t>22,3</w:t>
            </w:r>
          </w:p>
        </w:tc>
        <w:tc>
          <w:tcPr>
            <w:tcW w:w="1843" w:type="dxa"/>
            <w:shd w:val="clear" w:color="auto" w:fill="FFFFFF" w:themeFill="background1"/>
          </w:tcPr>
          <w:p w14:paraId="2B7C07CA" w14:textId="77777777" w:rsidR="003874F4" w:rsidRPr="006B4A2F" w:rsidRDefault="003874F4" w:rsidP="003874F4">
            <w:pPr>
              <w:jc w:val="center"/>
              <w:rPr>
                <w:lang w:val="ky-KG"/>
              </w:rPr>
            </w:pPr>
            <w:r>
              <w:rPr>
                <w:lang w:val="ky-KG"/>
              </w:rPr>
              <w:t>30</w:t>
            </w:r>
            <w:r w:rsidRPr="006B4A2F">
              <w:rPr>
                <w:lang w:val="ky-KG"/>
              </w:rPr>
              <w:t>,2</w:t>
            </w:r>
          </w:p>
        </w:tc>
      </w:tr>
    </w:tbl>
    <w:p w14:paraId="4AFDCB62" w14:textId="77777777" w:rsidR="00A31AD7" w:rsidRPr="00DD1974" w:rsidRDefault="00A31AD7" w:rsidP="005A7F34">
      <w:pPr>
        <w:jc w:val="both"/>
        <w:rPr>
          <w:rFonts w:ascii="/" w:hAnsi="/"/>
          <w:sz w:val="16"/>
          <w:szCs w:val="16"/>
          <w:highlight w:val="yellow"/>
        </w:rPr>
      </w:pPr>
    </w:p>
    <w:p w14:paraId="057056AE" w14:textId="77777777" w:rsidR="003D3927" w:rsidRPr="00BE5A4A" w:rsidRDefault="003D3927" w:rsidP="005A7F34">
      <w:pPr>
        <w:pStyle w:val="a8"/>
        <w:rPr>
          <w:b/>
          <w:sz w:val="24"/>
        </w:rPr>
      </w:pPr>
      <w:r w:rsidRPr="00BE5A4A">
        <w:rPr>
          <w:b/>
          <w:sz w:val="24"/>
        </w:rPr>
        <w:t>Собственные средства (капитал) банков. Показатели достаточности капитала</w:t>
      </w:r>
    </w:p>
    <w:p w14:paraId="41BA1027" w14:textId="77777777" w:rsidR="00911143" w:rsidRPr="00A85CBA" w:rsidRDefault="00911143" w:rsidP="00911143">
      <w:pPr>
        <w:ind w:firstLine="709"/>
        <w:jc w:val="both"/>
      </w:pPr>
      <w:r w:rsidRPr="00BE5A4A">
        <w:rPr>
          <w:lang w:val="ky-KG"/>
        </w:rPr>
        <w:t xml:space="preserve">Наблюдается </w:t>
      </w:r>
      <w:r w:rsidR="00A22124" w:rsidRPr="00BE5A4A">
        <w:rPr>
          <w:lang w:val="ky-KG"/>
        </w:rPr>
        <w:t xml:space="preserve">рост </w:t>
      </w:r>
      <w:r w:rsidRPr="00BE5A4A">
        <w:rPr>
          <w:lang w:val="ky-KG"/>
        </w:rPr>
        <w:t>о</w:t>
      </w:r>
      <w:r w:rsidRPr="00BE5A4A">
        <w:t>бьём</w:t>
      </w:r>
      <w:r w:rsidRPr="00BE5A4A">
        <w:rPr>
          <w:lang w:val="ky-KG"/>
        </w:rPr>
        <w:t>а</w:t>
      </w:r>
      <w:r w:rsidRPr="00BE5A4A">
        <w:t xml:space="preserve"> нормативного капитала в 202</w:t>
      </w:r>
      <w:r w:rsidR="00BE5A4A">
        <w:rPr>
          <w:lang w:val="ky-KG"/>
        </w:rPr>
        <w:t>2</w:t>
      </w:r>
      <w:r w:rsidRPr="00BE5A4A">
        <w:t xml:space="preserve"> году в долларовом эквиваленте, в том числе под влиянием изменения валютного курса, в</w:t>
      </w:r>
      <w:r w:rsidRPr="00BE5A4A">
        <w:rPr>
          <w:lang w:val="ky-KG"/>
        </w:rPr>
        <w:t xml:space="preserve"> </w:t>
      </w:r>
      <w:r w:rsidR="00A102A0" w:rsidRPr="00BE5A4A">
        <w:rPr>
          <w:lang w:val="ky-KG"/>
        </w:rPr>
        <w:t xml:space="preserve">Республике </w:t>
      </w:r>
      <w:r w:rsidR="0001562A" w:rsidRPr="00BE5A4A">
        <w:rPr>
          <w:lang w:val="ky-KG"/>
        </w:rPr>
        <w:t xml:space="preserve">Армении, </w:t>
      </w:r>
      <w:r w:rsidR="00A102A0" w:rsidRPr="00BE5A4A">
        <w:rPr>
          <w:lang w:val="ky-KG"/>
        </w:rPr>
        <w:t xml:space="preserve">Республике </w:t>
      </w:r>
      <w:r w:rsidR="0001562A" w:rsidRPr="00BE5A4A">
        <w:rPr>
          <w:lang w:val="ky-KG"/>
        </w:rPr>
        <w:t>Бел</w:t>
      </w:r>
      <w:r w:rsidR="00A102A0" w:rsidRPr="00BE5A4A">
        <w:rPr>
          <w:lang w:val="ky-KG"/>
        </w:rPr>
        <w:t>а</w:t>
      </w:r>
      <w:r w:rsidR="0001562A" w:rsidRPr="00BE5A4A">
        <w:rPr>
          <w:lang w:val="ky-KG"/>
        </w:rPr>
        <w:t>рус</w:t>
      </w:r>
      <w:r w:rsidR="00A102A0" w:rsidRPr="00BE5A4A">
        <w:rPr>
          <w:lang w:val="ky-KG"/>
        </w:rPr>
        <w:t>ь</w:t>
      </w:r>
      <w:r w:rsidR="0001562A" w:rsidRPr="00BE5A4A">
        <w:rPr>
          <w:lang w:val="ky-KG"/>
        </w:rPr>
        <w:t xml:space="preserve">, </w:t>
      </w:r>
      <w:r w:rsidR="00A102A0" w:rsidRPr="00BE5A4A">
        <w:rPr>
          <w:lang w:val="ky-KG"/>
        </w:rPr>
        <w:t xml:space="preserve">Республике </w:t>
      </w:r>
      <w:r w:rsidR="0001562A" w:rsidRPr="00BE5A4A">
        <w:rPr>
          <w:lang w:val="ky-KG"/>
        </w:rPr>
        <w:t xml:space="preserve">Казахстан, </w:t>
      </w:r>
      <w:r w:rsidR="00A102A0" w:rsidRPr="00BE5A4A">
        <w:rPr>
          <w:lang w:val="ky-KG"/>
        </w:rPr>
        <w:t>Кыргызской Республике</w:t>
      </w:r>
      <w:r w:rsidR="000166FD">
        <w:t xml:space="preserve"> и</w:t>
      </w:r>
      <w:r w:rsidR="00A102A0" w:rsidRPr="00BE5A4A">
        <w:t xml:space="preserve"> </w:t>
      </w:r>
      <w:r w:rsidR="0001562A" w:rsidRPr="00BE5A4A">
        <w:rPr>
          <w:lang w:val="ky-KG"/>
        </w:rPr>
        <w:t>Росси</w:t>
      </w:r>
      <w:r w:rsidR="00A102A0" w:rsidRPr="00BE5A4A">
        <w:rPr>
          <w:lang w:val="ky-KG"/>
        </w:rPr>
        <w:t>йской Федерации</w:t>
      </w:r>
      <w:r w:rsidR="000166FD">
        <w:rPr>
          <w:lang w:val="ky-KG"/>
        </w:rPr>
        <w:t>.</w:t>
      </w:r>
    </w:p>
    <w:p w14:paraId="1A0A71D3" w14:textId="77777777" w:rsidR="003D3927" w:rsidRPr="00BE5A4A" w:rsidRDefault="003D3927" w:rsidP="005A7F34">
      <w:pPr>
        <w:pStyle w:val="a8"/>
        <w:rPr>
          <w:sz w:val="16"/>
          <w:szCs w:val="16"/>
        </w:rPr>
      </w:pPr>
      <w:r w:rsidRPr="00BE5A4A">
        <w:rPr>
          <w:sz w:val="24"/>
        </w:rPr>
        <w:tab/>
      </w:r>
    </w:p>
    <w:p w14:paraId="1DBD7456" w14:textId="77777777" w:rsidR="003D3927" w:rsidRPr="00BE5A4A" w:rsidRDefault="00561525" w:rsidP="00A53E3F">
      <w:pPr>
        <w:pStyle w:val="a8"/>
        <w:ind w:firstLine="0"/>
        <w:outlineLvl w:val="2"/>
        <w:rPr>
          <w:sz w:val="24"/>
        </w:rPr>
      </w:pPr>
      <w:r w:rsidRPr="00BE5A4A">
        <w:rPr>
          <w:b/>
          <w:sz w:val="24"/>
          <w:lang w:val="ky-KG"/>
        </w:rPr>
        <w:t xml:space="preserve">Таблица 4. </w:t>
      </w:r>
      <w:r w:rsidR="0097791C" w:rsidRPr="00BE5A4A">
        <w:rPr>
          <w:b/>
          <w:sz w:val="24"/>
        </w:rPr>
        <w:t>Собственные средства</w:t>
      </w:r>
      <w:r w:rsidR="0097791C" w:rsidRPr="00BE5A4A">
        <w:rPr>
          <w:b/>
          <w:sz w:val="24"/>
          <w:lang w:val="ky-KG"/>
        </w:rPr>
        <w:t xml:space="preserve"> (</w:t>
      </w:r>
      <w:r w:rsidR="0097791C" w:rsidRPr="00BE5A4A">
        <w:rPr>
          <w:b/>
          <w:sz w:val="24"/>
        </w:rPr>
        <w:t>капитал</w:t>
      </w:r>
      <w:r w:rsidR="0097791C" w:rsidRPr="00BE5A4A">
        <w:rPr>
          <w:b/>
          <w:sz w:val="24"/>
          <w:lang w:val="ky-KG"/>
        </w:rPr>
        <w:t>)</w:t>
      </w:r>
      <w:r w:rsidR="003D3927" w:rsidRPr="00BE5A4A">
        <w:rPr>
          <w:b/>
          <w:sz w:val="24"/>
        </w:rPr>
        <w:t xml:space="preserve"> банков </w:t>
      </w:r>
      <w:r w:rsidR="00A952F8" w:rsidRPr="00BE5A4A">
        <w:rPr>
          <w:b/>
          <w:sz w:val="24"/>
        </w:rPr>
        <w:t>ЕСБ</w:t>
      </w:r>
    </w:p>
    <w:p w14:paraId="0824C211" w14:textId="77777777" w:rsidR="003D3927" w:rsidRPr="00BE5A4A" w:rsidRDefault="00561525" w:rsidP="005A7F34">
      <w:pPr>
        <w:pStyle w:val="a8"/>
        <w:jc w:val="center"/>
        <w:rPr>
          <w:sz w:val="24"/>
        </w:rPr>
      </w:pPr>
      <w:r w:rsidRPr="00BE5A4A">
        <w:rPr>
          <w:sz w:val="24"/>
          <w:lang w:val="ky-KG"/>
        </w:rPr>
        <w:t xml:space="preserve">                                                                                               </w:t>
      </w:r>
      <w:r w:rsidR="003D3927" w:rsidRPr="00BE5A4A">
        <w:rPr>
          <w:sz w:val="24"/>
        </w:rPr>
        <w:t>(</w:t>
      </w:r>
      <w:r w:rsidR="00466748" w:rsidRPr="00BE5A4A">
        <w:rPr>
          <w:sz w:val="24"/>
        </w:rPr>
        <w:t>эквивалент млн.</w:t>
      </w:r>
      <w:r w:rsidR="003D3927" w:rsidRPr="00BE5A4A">
        <w:rPr>
          <w:sz w:val="24"/>
        </w:rPr>
        <w:t xml:space="preserve"> долл. США)</w:t>
      </w:r>
    </w:p>
    <w:tbl>
      <w:tblPr>
        <w:tblW w:w="96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28"/>
        <w:gridCol w:w="2013"/>
        <w:gridCol w:w="1984"/>
        <w:gridCol w:w="1870"/>
      </w:tblGrid>
      <w:tr w:rsidR="00BE5A4A" w:rsidRPr="00BE5A4A" w14:paraId="38B74DFF" w14:textId="77777777" w:rsidTr="002E6518">
        <w:tc>
          <w:tcPr>
            <w:tcW w:w="3828" w:type="dxa"/>
          </w:tcPr>
          <w:p w14:paraId="0535A9D8" w14:textId="77777777" w:rsidR="00BE5A4A" w:rsidRPr="00BE5A4A" w:rsidRDefault="00BE5A4A" w:rsidP="00BE5A4A">
            <w:pPr>
              <w:jc w:val="center"/>
              <w:rPr>
                <w:b/>
              </w:rPr>
            </w:pPr>
            <w:r w:rsidRPr="00BE5A4A">
              <w:rPr>
                <w:b/>
              </w:rPr>
              <w:t>Страны</w:t>
            </w:r>
          </w:p>
        </w:tc>
        <w:tc>
          <w:tcPr>
            <w:tcW w:w="2013" w:type="dxa"/>
          </w:tcPr>
          <w:p w14:paraId="76C188A0" w14:textId="77777777" w:rsidR="00BE5A4A" w:rsidRPr="00BE5A4A" w:rsidRDefault="00BE5A4A" w:rsidP="00BE5A4A">
            <w:pPr>
              <w:jc w:val="center"/>
              <w:rPr>
                <w:b/>
              </w:rPr>
            </w:pPr>
            <w:r w:rsidRPr="00BE5A4A">
              <w:rPr>
                <w:b/>
              </w:rPr>
              <w:t>31.12.2020</w:t>
            </w:r>
          </w:p>
        </w:tc>
        <w:tc>
          <w:tcPr>
            <w:tcW w:w="1984" w:type="dxa"/>
          </w:tcPr>
          <w:p w14:paraId="79A35510" w14:textId="77777777" w:rsidR="00BE5A4A" w:rsidRPr="00BE5A4A" w:rsidRDefault="00BE5A4A" w:rsidP="00BE5A4A">
            <w:pPr>
              <w:jc w:val="center"/>
              <w:rPr>
                <w:b/>
              </w:rPr>
            </w:pPr>
            <w:r w:rsidRPr="00BE5A4A">
              <w:rPr>
                <w:b/>
              </w:rPr>
              <w:t>31.12.2021</w:t>
            </w:r>
          </w:p>
        </w:tc>
        <w:tc>
          <w:tcPr>
            <w:tcW w:w="1870" w:type="dxa"/>
          </w:tcPr>
          <w:p w14:paraId="0A03393B" w14:textId="77777777" w:rsidR="00BE5A4A" w:rsidRPr="00BE5A4A" w:rsidRDefault="00BE5A4A" w:rsidP="00BE5A4A">
            <w:pPr>
              <w:jc w:val="center"/>
              <w:rPr>
                <w:b/>
                <w:lang w:val="ky-KG"/>
              </w:rPr>
            </w:pPr>
            <w:r w:rsidRPr="00BE5A4A">
              <w:rPr>
                <w:b/>
              </w:rPr>
              <w:t>31.12.202</w:t>
            </w:r>
            <w:r w:rsidRPr="00BE5A4A">
              <w:rPr>
                <w:b/>
                <w:lang w:val="ky-KG"/>
              </w:rPr>
              <w:t>2</w:t>
            </w:r>
          </w:p>
        </w:tc>
      </w:tr>
      <w:tr w:rsidR="00BE5A4A" w:rsidRPr="00BE5A4A" w14:paraId="24AEC804" w14:textId="77777777" w:rsidTr="00A22124">
        <w:trPr>
          <w:trHeight w:val="337"/>
        </w:trPr>
        <w:tc>
          <w:tcPr>
            <w:tcW w:w="3828" w:type="dxa"/>
            <w:shd w:val="clear" w:color="auto" w:fill="auto"/>
          </w:tcPr>
          <w:p w14:paraId="6B380700" w14:textId="77777777" w:rsidR="00BE5A4A" w:rsidRPr="00BE5A4A" w:rsidRDefault="00BE5A4A" w:rsidP="00BE5A4A">
            <w:pPr>
              <w:jc w:val="both"/>
              <w:rPr>
                <w:lang w:val="ky-KG"/>
              </w:rPr>
            </w:pPr>
            <w:r w:rsidRPr="00BE5A4A">
              <w:rPr>
                <w:lang w:val="ky-KG"/>
              </w:rPr>
              <w:t>Республика Армения</w:t>
            </w:r>
          </w:p>
        </w:tc>
        <w:tc>
          <w:tcPr>
            <w:tcW w:w="2013" w:type="dxa"/>
            <w:shd w:val="clear" w:color="auto" w:fill="auto"/>
          </w:tcPr>
          <w:p w14:paraId="5F718342" w14:textId="77777777" w:rsidR="00BE5A4A" w:rsidRPr="00BE5A4A" w:rsidRDefault="00BE5A4A" w:rsidP="00BE5A4A">
            <w:pPr>
              <w:jc w:val="right"/>
              <w:rPr>
                <w:lang w:val="ky-KG"/>
              </w:rPr>
            </w:pPr>
            <w:r w:rsidRPr="00BE5A4A">
              <w:rPr>
                <w:lang w:val="ky-KG"/>
              </w:rPr>
              <w:t>1 680,9</w:t>
            </w:r>
          </w:p>
        </w:tc>
        <w:tc>
          <w:tcPr>
            <w:tcW w:w="1984" w:type="dxa"/>
          </w:tcPr>
          <w:p w14:paraId="20C56959" w14:textId="77777777" w:rsidR="00BE5A4A" w:rsidRPr="00BE5A4A" w:rsidRDefault="00BE5A4A" w:rsidP="00BE5A4A">
            <w:pPr>
              <w:jc w:val="right"/>
              <w:rPr>
                <w:lang w:val="ky-KG"/>
              </w:rPr>
            </w:pPr>
            <w:r w:rsidRPr="00BE5A4A">
              <w:rPr>
                <w:lang w:val="ky-KG"/>
              </w:rPr>
              <w:t>1 911,9</w:t>
            </w:r>
          </w:p>
        </w:tc>
        <w:tc>
          <w:tcPr>
            <w:tcW w:w="1870" w:type="dxa"/>
          </w:tcPr>
          <w:p w14:paraId="50674429" w14:textId="77777777" w:rsidR="00BE5A4A" w:rsidRPr="00BE5A4A" w:rsidRDefault="00BE5A4A" w:rsidP="00BE5A4A">
            <w:pPr>
              <w:jc w:val="right"/>
              <w:rPr>
                <w:lang w:val="ky-KG"/>
              </w:rPr>
            </w:pPr>
            <w:r w:rsidRPr="00BE5A4A">
              <w:rPr>
                <w:lang w:val="ky-KG"/>
              </w:rPr>
              <w:t>3167,75</w:t>
            </w:r>
          </w:p>
        </w:tc>
      </w:tr>
      <w:tr w:rsidR="00BE5A4A" w:rsidRPr="00BE5A4A" w14:paraId="2793B67C" w14:textId="77777777" w:rsidTr="002E6518">
        <w:tc>
          <w:tcPr>
            <w:tcW w:w="3828" w:type="dxa"/>
            <w:shd w:val="clear" w:color="auto" w:fill="auto"/>
          </w:tcPr>
          <w:p w14:paraId="603C033D" w14:textId="77777777" w:rsidR="00BE5A4A" w:rsidRPr="00BE5A4A" w:rsidRDefault="00BE5A4A" w:rsidP="00BE5A4A">
            <w:pPr>
              <w:jc w:val="both"/>
            </w:pPr>
            <w:r w:rsidRPr="00BE5A4A">
              <w:t>Республика Беларусь</w:t>
            </w:r>
          </w:p>
        </w:tc>
        <w:tc>
          <w:tcPr>
            <w:tcW w:w="2013" w:type="dxa"/>
            <w:shd w:val="clear" w:color="auto" w:fill="auto"/>
          </w:tcPr>
          <w:p w14:paraId="7955276E" w14:textId="77777777" w:rsidR="00BE5A4A" w:rsidRPr="00BE5A4A" w:rsidRDefault="00BE5A4A" w:rsidP="00BE5A4A">
            <w:pPr>
              <w:jc w:val="right"/>
              <w:rPr>
                <w:lang w:val="ky-KG"/>
              </w:rPr>
            </w:pPr>
            <w:r w:rsidRPr="00BE5A4A">
              <w:rPr>
                <w:lang w:val="ky-KG"/>
              </w:rPr>
              <w:t>4 939,2</w:t>
            </w:r>
          </w:p>
        </w:tc>
        <w:tc>
          <w:tcPr>
            <w:tcW w:w="1984" w:type="dxa"/>
          </w:tcPr>
          <w:p w14:paraId="52D692DB" w14:textId="77777777" w:rsidR="00BE5A4A" w:rsidRPr="00BE5A4A" w:rsidRDefault="00BE5A4A" w:rsidP="00BE5A4A">
            <w:pPr>
              <w:jc w:val="right"/>
              <w:rPr>
                <w:lang w:val="ky-KG"/>
              </w:rPr>
            </w:pPr>
            <w:r w:rsidRPr="00BE5A4A">
              <w:rPr>
                <w:lang w:val="ky-KG"/>
              </w:rPr>
              <w:t>5 690,3</w:t>
            </w:r>
          </w:p>
        </w:tc>
        <w:tc>
          <w:tcPr>
            <w:tcW w:w="1870" w:type="dxa"/>
          </w:tcPr>
          <w:p w14:paraId="0CCCCAFB" w14:textId="77777777" w:rsidR="00BE5A4A" w:rsidRPr="00BE5A4A" w:rsidRDefault="009D652B" w:rsidP="00BE5A4A">
            <w:pPr>
              <w:jc w:val="right"/>
              <w:rPr>
                <w:lang w:val="ky-KG"/>
              </w:rPr>
            </w:pPr>
            <w:r w:rsidRPr="009D652B">
              <w:rPr>
                <w:lang w:val="ky-KG"/>
              </w:rPr>
              <w:t>6 850,0</w:t>
            </w:r>
          </w:p>
        </w:tc>
      </w:tr>
      <w:tr w:rsidR="00BE5A4A" w:rsidRPr="00BE5A4A" w14:paraId="3C89CBB1" w14:textId="77777777" w:rsidTr="002E6518">
        <w:tc>
          <w:tcPr>
            <w:tcW w:w="3828" w:type="dxa"/>
            <w:shd w:val="clear" w:color="auto" w:fill="auto"/>
          </w:tcPr>
          <w:p w14:paraId="68CC6878" w14:textId="77777777" w:rsidR="00BE5A4A" w:rsidRPr="00BE5A4A" w:rsidRDefault="00BE5A4A" w:rsidP="00BE5A4A">
            <w:pPr>
              <w:jc w:val="both"/>
            </w:pPr>
            <w:r w:rsidRPr="00BE5A4A">
              <w:t>Республика Казахстан</w:t>
            </w:r>
          </w:p>
        </w:tc>
        <w:tc>
          <w:tcPr>
            <w:tcW w:w="2013" w:type="dxa"/>
            <w:shd w:val="clear" w:color="auto" w:fill="auto"/>
          </w:tcPr>
          <w:p w14:paraId="04D0B0FE" w14:textId="77777777" w:rsidR="00BE5A4A" w:rsidRPr="00BE5A4A" w:rsidRDefault="00BE5A4A" w:rsidP="00BE5A4A">
            <w:pPr>
              <w:jc w:val="right"/>
              <w:rPr>
                <w:lang w:val="ky-KG"/>
              </w:rPr>
            </w:pPr>
            <w:r w:rsidRPr="00BE5A4A">
              <w:rPr>
                <w:lang w:val="ky-KG"/>
              </w:rPr>
              <w:t>9399,6</w:t>
            </w:r>
          </w:p>
        </w:tc>
        <w:tc>
          <w:tcPr>
            <w:tcW w:w="1984" w:type="dxa"/>
          </w:tcPr>
          <w:p w14:paraId="5522BB3E" w14:textId="77777777" w:rsidR="00BE5A4A" w:rsidRPr="00BE5A4A" w:rsidRDefault="00BE5A4A" w:rsidP="00BE5A4A">
            <w:pPr>
              <w:jc w:val="right"/>
              <w:rPr>
                <w:lang w:val="ky-KG"/>
              </w:rPr>
            </w:pPr>
            <w:r w:rsidRPr="00BE5A4A">
              <w:rPr>
                <w:lang w:val="ky-KG"/>
              </w:rPr>
              <w:t>10 502,4</w:t>
            </w:r>
          </w:p>
        </w:tc>
        <w:tc>
          <w:tcPr>
            <w:tcW w:w="1870" w:type="dxa"/>
          </w:tcPr>
          <w:p w14:paraId="3076117E" w14:textId="77777777" w:rsidR="00BE5A4A" w:rsidRPr="00BE5A4A" w:rsidRDefault="00BE5A4A" w:rsidP="00BE5A4A">
            <w:pPr>
              <w:jc w:val="right"/>
              <w:rPr>
                <w:lang w:val="ky-KG"/>
              </w:rPr>
            </w:pPr>
            <w:r w:rsidRPr="00BE5A4A">
              <w:rPr>
                <w:lang w:val="ky-KG"/>
              </w:rPr>
              <w:t>11 299,5</w:t>
            </w:r>
          </w:p>
        </w:tc>
      </w:tr>
      <w:tr w:rsidR="00BE5A4A" w:rsidRPr="00BE5A4A" w14:paraId="7D60B876" w14:textId="77777777" w:rsidTr="002E6518">
        <w:trPr>
          <w:trHeight w:val="70"/>
        </w:trPr>
        <w:tc>
          <w:tcPr>
            <w:tcW w:w="3828" w:type="dxa"/>
            <w:shd w:val="clear" w:color="auto" w:fill="auto"/>
          </w:tcPr>
          <w:p w14:paraId="0D5812A1" w14:textId="77777777" w:rsidR="00BE5A4A" w:rsidRPr="00BE5A4A" w:rsidRDefault="00BE5A4A" w:rsidP="00BE5A4A">
            <w:pPr>
              <w:jc w:val="both"/>
            </w:pPr>
            <w:r w:rsidRPr="00BE5A4A">
              <w:t>Кыргызская Республика</w:t>
            </w:r>
          </w:p>
        </w:tc>
        <w:tc>
          <w:tcPr>
            <w:tcW w:w="2013" w:type="dxa"/>
            <w:shd w:val="clear" w:color="auto" w:fill="auto"/>
          </w:tcPr>
          <w:p w14:paraId="06CF6F5A" w14:textId="77777777" w:rsidR="00BE5A4A" w:rsidRPr="00BE5A4A" w:rsidRDefault="00BE5A4A" w:rsidP="00BE5A4A">
            <w:pPr>
              <w:jc w:val="right"/>
              <w:rPr>
                <w:lang w:val="ky-KG"/>
              </w:rPr>
            </w:pPr>
            <w:r w:rsidRPr="00BE5A4A">
              <w:rPr>
                <w:lang w:val="ky-KG"/>
              </w:rPr>
              <w:t>568,1</w:t>
            </w:r>
          </w:p>
        </w:tc>
        <w:tc>
          <w:tcPr>
            <w:tcW w:w="1984" w:type="dxa"/>
          </w:tcPr>
          <w:p w14:paraId="5EEF8066" w14:textId="77777777" w:rsidR="00BE5A4A" w:rsidRPr="00BE5A4A" w:rsidRDefault="00BE5A4A" w:rsidP="00BE5A4A">
            <w:pPr>
              <w:jc w:val="right"/>
              <w:rPr>
                <w:lang w:val="ky-KG"/>
              </w:rPr>
            </w:pPr>
            <w:r w:rsidRPr="00BE5A4A">
              <w:rPr>
                <w:lang w:val="ky-KG"/>
              </w:rPr>
              <w:t>534,1</w:t>
            </w:r>
          </w:p>
        </w:tc>
        <w:tc>
          <w:tcPr>
            <w:tcW w:w="1870" w:type="dxa"/>
          </w:tcPr>
          <w:p w14:paraId="251DA571" w14:textId="77777777" w:rsidR="00BE5A4A" w:rsidRPr="00BE5A4A" w:rsidRDefault="00BE5A4A" w:rsidP="00BE5A4A">
            <w:pPr>
              <w:jc w:val="right"/>
              <w:rPr>
                <w:lang w:val="ky-KG"/>
              </w:rPr>
            </w:pPr>
            <w:r w:rsidRPr="00BE5A4A">
              <w:rPr>
                <w:lang w:val="ky-KG"/>
              </w:rPr>
              <w:t>643,3</w:t>
            </w:r>
          </w:p>
        </w:tc>
      </w:tr>
      <w:tr w:rsidR="006F0FD9" w:rsidRPr="00BE5A4A" w14:paraId="5C8B4E5C" w14:textId="77777777" w:rsidTr="002E6518">
        <w:tc>
          <w:tcPr>
            <w:tcW w:w="3828" w:type="dxa"/>
            <w:shd w:val="clear" w:color="auto" w:fill="auto"/>
          </w:tcPr>
          <w:p w14:paraId="029193F6" w14:textId="77777777" w:rsidR="006F0FD9" w:rsidRPr="00BE5A4A" w:rsidRDefault="006F0FD9" w:rsidP="006F0FD9">
            <w:pPr>
              <w:jc w:val="both"/>
            </w:pPr>
            <w:r w:rsidRPr="00BE5A4A">
              <w:t>Российская Федерация</w:t>
            </w:r>
          </w:p>
        </w:tc>
        <w:tc>
          <w:tcPr>
            <w:tcW w:w="2013" w:type="dxa"/>
            <w:shd w:val="clear" w:color="auto" w:fill="auto"/>
          </w:tcPr>
          <w:p w14:paraId="25E5F90B" w14:textId="77777777" w:rsidR="006F0FD9" w:rsidRPr="00BE5A4A" w:rsidRDefault="006F0FD9" w:rsidP="006F0FD9">
            <w:pPr>
              <w:jc w:val="right"/>
              <w:rPr>
                <w:lang w:val="ky-KG"/>
              </w:rPr>
            </w:pPr>
            <w:r w:rsidRPr="00BE5A4A">
              <w:rPr>
                <w:lang w:val="ky-KG"/>
              </w:rPr>
              <w:t>154 491,2</w:t>
            </w:r>
          </w:p>
        </w:tc>
        <w:tc>
          <w:tcPr>
            <w:tcW w:w="1984" w:type="dxa"/>
          </w:tcPr>
          <w:p w14:paraId="028FE914" w14:textId="77777777" w:rsidR="006F0FD9" w:rsidRPr="00BE5A4A" w:rsidRDefault="006F0FD9" w:rsidP="006F0FD9">
            <w:pPr>
              <w:jc w:val="right"/>
              <w:rPr>
                <w:lang w:val="ky-KG"/>
              </w:rPr>
            </w:pPr>
            <w:r w:rsidRPr="00BE5A4A">
              <w:rPr>
                <w:lang w:val="ky-KG"/>
              </w:rPr>
              <w:t>169 66</w:t>
            </w:r>
            <w:r>
              <w:rPr>
                <w:lang w:val="ky-KG"/>
              </w:rPr>
              <w:t>7,7</w:t>
            </w:r>
          </w:p>
        </w:tc>
        <w:tc>
          <w:tcPr>
            <w:tcW w:w="1870" w:type="dxa"/>
          </w:tcPr>
          <w:p w14:paraId="65ED52B8" w14:textId="77777777" w:rsidR="006F0FD9" w:rsidRPr="00BE5A4A" w:rsidRDefault="006F0FD9" w:rsidP="006F0FD9">
            <w:pPr>
              <w:jc w:val="right"/>
              <w:rPr>
                <w:lang w:val="ky-KG"/>
              </w:rPr>
            </w:pPr>
            <w:r w:rsidRPr="00BE5A4A">
              <w:rPr>
                <w:lang w:val="ky-KG"/>
              </w:rPr>
              <w:t>189 77</w:t>
            </w:r>
            <w:r>
              <w:rPr>
                <w:lang w:val="ky-KG"/>
              </w:rPr>
              <w:t>3,8</w:t>
            </w:r>
          </w:p>
        </w:tc>
      </w:tr>
      <w:tr w:rsidR="00BE5A4A" w:rsidRPr="00DD1974" w14:paraId="3174F5E2" w14:textId="77777777" w:rsidTr="002E6518">
        <w:tc>
          <w:tcPr>
            <w:tcW w:w="3828" w:type="dxa"/>
            <w:shd w:val="clear" w:color="auto" w:fill="auto"/>
          </w:tcPr>
          <w:p w14:paraId="674A1761" w14:textId="77777777" w:rsidR="00BE5A4A" w:rsidRPr="00BE5A4A" w:rsidRDefault="00BE5A4A" w:rsidP="00BE5A4A">
            <w:pPr>
              <w:jc w:val="both"/>
            </w:pPr>
            <w:r w:rsidRPr="00BE5A4A">
              <w:t>Республика Таджикистан</w:t>
            </w:r>
          </w:p>
        </w:tc>
        <w:tc>
          <w:tcPr>
            <w:tcW w:w="2013" w:type="dxa"/>
            <w:shd w:val="clear" w:color="auto" w:fill="FFFFFF" w:themeFill="background1"/>
          </w:tcPr>
          <w:p w14:paraId="206FDD06" w14:textId="77777777" w:rsidR="00BE5A4A" w:rsidRPr="00BE5A4A" w:rsidRDefault="00BE5A4A" w:rsidP="00BE5A4A">
            <w:pPr>
              <w:jc w:val="right"/>
              <w:rPr>
                <w:lang w:val="ky-KG"/>
              </w:rPr>
            </w:pPr>
            <w:r w:rsidRPr="00BE5A4A">
              <w:rPr>
                <w:lang w:val="ky-KG"/>
              </w:rPr>
              <w:t>539,6</w:t>
            </w:r>
          </w:p>
        </w:tc>
        <w:tc>
          <w:tcPr>
            <w:tcW w:w="1984" w:type="dxa"/>
            <w:shd w:val="clear" w:color="auto" w:fill="FFFFFF" w:themeFill="background1"/>
          </w:tcPr>
          <w:p w14:paraId="7E7F0186" w14:textId="77777777" w:rsidR="00BE5A4A" w:rsidRPr="00BE5A4A" w:rsidRDefault="00BE5A4A" w:rsidP="00BE5A4A">
            <w:pPr>
              <w:jc w:val="right"/>
              <w:rPr>
                <w:lang w:val="ky-KG"/>
              </w:rPr>
            </w:pPr>
            <w:r w:rsidRPr="00BE5A4A">
              <w:rPr>
                <w:lang w:val="ky-KG"/>
              </w:rPr>
              <w:t>449,2</w:t>
            </w:r>
          </w:p>
        </w:tc>
        <w:tc>
          <w:tcPr>
            <w:tcW w:w="1870" w:type="dxa"/>
            <w:shd w:val="clear" w:color="auto" w:fill="FFFFFF" w:themeFill="background1"/>
          </w:tcPr>
          <w:p w14:paraId="696A636B" w14:textId="77777777" w:rsidR="00BE5A4A" w:rsidRPr="00BE5A4A" w:rsidRDefault="00BE5A4A" w:rsidP="00BE5A4A">
            <w:pPr>
              <w:jc w:val="right"/>
              <w:rPr>
                <w:lang w:val="ky-KG"/>
              </w:rPr>
            </w:pPr>
            <w:r w:rsidRPr="00BE5A4A">
              <w:rPr>
                <w:lang w:val="ky-KG"/>
              </w:rPr>
              <w:t>617,4</w:t>
            </w:r>
          </w:p>
        </w:tc>
      </w:tr>
    </w:tbl>
    <w:p w14:paraId="6F09BC29" w14:textId="77777777" w:rsidR="00FF3207" w:rsidRPr="00BE5A4A" w:rsidRDefault="00FF3207" w:rsidP="005A7F34">
      <w:pPr>
        <w:jc w:val="both"/>
        <w:rPr>
          <w:b/>
          <w:sz w:val="16"/>
          <w:szCs w:val="16"/>
        </w:rPr>
      </w:pPr>
    </w:p>
    <w:p w14:paraId="638461A9" w14:textId="77777777" w:rsidR="009E1FA9" w:rsidRPr="00A53E3F" w:rsidRDefault="009E1FA9" w:rsidP="00A53E3F">
      <w:pPr>
        <w:pStyle w:val="a8"/>
        <w:ind w:firstLine="0"/>
        <w:jc w:val="left"/>
        <w:outlineLvl w:val="2"/>
        <w:rPr>
          <w:b/>
          <w:sz w:val="24"/>
        </w:rPr>
      </w:pPr>
      <w:r w:rsidRPr="00A53E3F">
        <w:rPr>
          <w:b/>
          <w:sz w:val="24"/>
        </w:rPr>
        <w:t>Таблица 5. Норматив достаточности капитала (в процентах)</w:t>
      </w:r>
      <w:r w:rsidR="00220B00" w:rsidRPr="00A53E3F">
        <w:rPr>
          <w:b/>
          <w:sz w:val="24"/>
        </w:rPr>
        <w:t xml:space="preserve">        </w:t>
      </w:r>
      <w:r w:rsidRPr="00A53E3F">
        <w:rPr>
          <w:b/>
          <w:sz w:val="24"/>
        </w:rPr>
        <w:t xml:space="preserve">                                                                                                                                 </w:t>
      </w:r>
    </w:p>
    <w:tbl>
      <w:tblPr>
        <w:tblW w:w="96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28"/>
        <w:gridCol w:w="2013"/>
        <w:gridCol w:w="1984"/>
        <w:gridCol w:w="1842"/>
      </w:tblGrid>
      <w:tr w:rsidR="00BE5A4A" w:rsidRPr="00BE5A4A" w14:paraId="3E5C05CB" w14:textId="77777777" w:rsidTr="002E6518">
        <w:tc>
          <w:tcPr>
            <w:tcW w:w="3828" w:type="dxa"/>
            <w:tcBorders>
              <w:top w:val="single" w:sz="4" w:space="0" w:color="auto"/>
              <w:left w:val="single" w:sz="4" w:space="0" w:color="auto"/>
              <w:bottom w:val="single" w:sz="4" w:space="0" w:color="auto"/>
              <w:right w:val="single" w:sz="4" w:space="0" w:color="auto"/>
            </w:tcBorders>
          </w:tcPr>
          <w:p w14:paraId="68A37878" w14:textId="77777777" w:rsidR="00BE5A4A" w:rsidRPr="00BE5A4A" w:rsidRDefault="00BE5A4A" w:rsidP="00BE5A4A">
            <w:pPr>
              <w:jc w:val="center"/>
              <w:rPr>
                <w:b/>
              </w:rPr>
            </w:pPr>
            <w:r w:rsidRPr="00BE5A4A">
              <w:rPr>
                <w:b/>
              </w:rPr>
              <w:t>Страны</w:t>
            </w:r>
          </w:p>
        </w:tc>
        <w:tc>
          <w:tcPr>
            <w:tcW w:w="2013" w:type="dxa"/>
            <w:tcBorders>
              <w:top w:val="single" w:sz="4" w:space="0" w:color="auto"/>
              <w:left w:val="single" w:sz="4" w:space="0" w:color="auto"/>
              <w:bottom w:val="single" w:sz="4" w:space="0" w:color="auto"/>
              <w:right w:val="single" w:sz="4" w:space="0" w:color="auto"/>
            </w:tcBorders>
          </w:tcPr>
          <w:p w14:paraId="625178E5" w14:textId="77777777" w:rsidR="00BE5A4A" w:rsidRPr="00BE5A4A" w:rsidRDefault="00BE5A4A" w:rsidP="00BE5A4A">
            <w:pPr>
              <w:jc w:val="center"/>
              <w:rPr>
                <w:b/>
                <w:lang w:val="ky-KG"/>
              </w:rPr>
            </w:pPr>
            <w:r w:rsidRPr="00BE5A4A">
              <w:rPr>
                <w:b/>
                <w:lang w:val="ky-KG"/>
              </w:rPr>
              <w:t>31.12.2020</w:t>
            </w:r>
          </w:p>
        </w:tc>
        <w:tc>
          <w:tcPr>
            <w:tcW w:w="1984" w:type="dxa"/>
            <w:tcBorders>
              <w:top w:val="single" w:sz="4" w:space="0" w:color="auto"/>
              <w:left w:val="single" w:sz="4" w:space="0" w:color="auto"/>
              <w:bottom w:val="single" w:sz="4" w:space="0" w:color="auto"/>
              <w:right w:val="single" w:sz="4" w:space="0" w:color="auto"/>
            </w:tcBorders>
          </w:tcPr>
          <w:p w14:paraId="6A97D935" w14:textId="77777777" w:rsidR="00BE5A4A" w:rsidRPr="00BE5A4A" w:rsidRDefault="00BE5A4A" w:rsidP="00BE5A4A">
            <w:pPr>
              <w:jc w:val="center"/>
              <w:rPr>
                <w:b/>
                <w:lang w:val="ky-KG"/>
              </w:rPr>
            </w:pPr>
            <w:r w:rsidRPr="00BE5A4A">
              <w:rPr>
                <w:b/>
                <w:lang w:val="ky-KG"/>
              </w:rPr>
              <w:t>31.12.2021</w:t>
            </w:r>
          </w:p>
        </w:tc>
        <w:tc>
          <w:tcPr>
            <w:tcW w:w="1842" w:type="dxa"/>
            <w:tcBorders>
              <w:top w:val="single" w:sz="4" w:space="0" w:color="auto"/>
              <w:left w:val="single" w:sz="4" w:space="0" w:color="auto"/>
              <w:bottom w:val="single" w:sz="4" w:space="0" w:color="auto"/>
              <w:right w:val="single" w:sz="4" w:space="0" w:color="auto"/>
            </w:tcBorders>
          </w:tcPr>
          <w:p w14:paraId="5E74B54C" w14:textId="77777777" w:rsidR="00BE5A4A" w:rsidRPr="00BE5A4A" w:rsidRDefault="00BE5A4A" w:rsidP="00BE5A4A">
            <w:pPr>
              <w:jc w:val="center"/>
              <w:rPr>
                <w:b/>
                <w:lang w:val="ky-KG"/>
              </w:rPr>
            </w:pPr>
            <w:r w:rsidRPr="00BE5A4A">
              <w:rPr>
                <w:b/>
                <w:lang w:val="ky-KG"/>
              </w:rPr>
              <w:t>31.12.2022</w:t>
            </w:r>
          </w:p>
        </w:tc>
      </w:tr>
      <w:tr w:rsidR="00BE5A4A" w:rsidRPr="00BE5A4A" w14:paraId="71F90030" w14:textId="77777777" w:rsidTr="002E6518">
        <w:tc>
          <w:tcPr>
            <w:tcW w:w="3828" w:type="dxa"/>
            <w:tcBorders>
              <w:top w:val="single" w:sz="4" w:space="0" w:color="auto"/>
              <w:left w:val="single" w:sz="4" w:space="0" w:color="auto"/>
              <w:bottom w:val="single" w:sz="4" w:space="0" w:color="auto"/>
              <w:right w:val="single" w:sz="4" w:space="0" w:color="auto"/>
            </w:tcBorders>
          </w:tcPr>
          <w:p w14:paraId="6B5706C6" w14:textId="77777777" w:rsidR="00BE5A4A" w:rsidRPr="00BE5A4A" w:rsidRDefault="00BE5A4A" w:rsidP="00BE5A4A">
            <w:pPr>
              <w:ind w:firstLine="63"/>
              <w:jc w:val="both"/>
            </w:pPr>
            <w:r w:rsidRPr="00BE5A4A">
              <w:t>Республика Армения</w:t>
            </w:r>
          </w:p>
        </w:tc>
        <w:tc>
          <w:tcPr>
            <w:tcW w:w="2013" w:type="dxa"/>
            <w:tcBorders>
              <w:top w:val="single" w:sz="4" w:space="0" w:color="auto"/>
              <w:left w:val="single" w:sz="4" w:space="0" w:color="auto"/>
              <w:bottom w:val="single" w:sz="4" w:space="0" w:color="auto"/>
              <w:right w:val="single" w:sz="4" w:space="0" w:color="auto"/>
            </w:tcBorders>
          </w:tcPr>
          <w:p w14:paraId="04ABC575" w14:textId="77777777" w:rsidR="00BE5A4A" w:rsidRPr="00BE5A4A" w:rsidRDefault="00BE5A4A" w:rsidP="00BE5A4A">
            <w:pPr>
              <w:jc w:val="center"/>
              <w:rPr>
                <w:lang w:val="ky-KG"/>
              </w:rPr>
            </w:pPr>
            <w:r w:rsidRPr="00BE5A4A">
              <w:rPr>
                <w:lang w:val="ky-KG"/>
              </w:rPr>
              <w:t>16,9</w:t>
            </w:r>
          </w:p>
        </w:tc>
        <w:tc>
          <w:tcPr>
            <w:tcW w:w="1984" w:type="dxa"/>
            <w:tcBorders>
              <w:top w:val="single" w:sz="4" w:space="0" w:color="auto"/>
              <w:left w:val="single" w:sz="4" w:space="0" w:color="auto"/>
              <w:bottom w:val="single" w:sz="4" w:space="0" w:color="auto"/>
              <w:right w:val="single" w:sz="4" w:space="0" w:color="auto"/>
            </w:tcBorders>
          </w:tcPr>
          <w:p w14:paraId="4CC2BFCB" w14:textId="77777777" w:rsidR="00BE5A4A" w:rsidRPr="00BE5A4A" w:rsidRDefault="00BE5A4A" w:rsidP="00BE5A4A">
            <w:pPr>
              <w:jc w:val="center"/>
              <w:rPr>
                <w:lang w:val="ky-KG"/>
              </w:rPr>
            </w:pPr>
            <w:r w:rsidRPr="00BE5A4A">
              <w:rPr>
                <w:lang w:val="ky-KG"/>
              </w:rPr>
              <w:t>17,2</w:t>
            </w:r>
          </w:p>
        </w:tc>
        <w:tc>
          <w:tcPr>
            <w:tcW w:w="1842" w:type="dxa"/>
            <w:tcBorders>
              <w:top w:val="single" w:sz="4" w:space="0" w:color="auto"/>
              <w:left w:val="single" w:sz="4" w:space="0" w:color="auto"/>
              <w:bottom w:val="single" w:sz="4" w:space="0" w:color="auto"/>
              <w:right w:val="single" w:sz="4" w:space="0" w:color="auto"/>
            </w:tcBorders>
          </w:tcPr>
          <w:p w14:paraId="6644A19D" w14:textId="77777777" w:rsidR="00BE5A4A" w:rsidRPr="00BE5A4A" w:rsidRDefault="00BE5A4A" w:rsidP="00BE5A4A">
            <w:pPr>
              <w:jc w:val="center"/>
              <w:rPr>
                <w:lang w:val="ky-KG"/>
              </w:rPr>
            </w:pPr>
            <w:r>
              <w:rPr>
                <w:color w:val="000000"/>
              </w:rPr>
              <w:t>20,3</w:t>
            </w:r>
          </w:p>
        </w:tc>
      </w:tr>
      <w:tr w:rsidR="009D652B" w:rsidRPr="00BE5A4A" w14:paraId="472BFA6C" w14:textId="77777777" w:rsidTr="002E6518">
        <w:tc>
          <w:tcPr>
            <w:tcW w:w="3828" w:type="dxa"/>
            <w:tcBorders>
              <w:top w:val="single" w:sz="4" w:space="0" w:color="auto"/>
              <w:left w:val="single" w:sz="4" w:space="0" w:color="auto"/>
              <w:bottom w:val="single" w:sz="4" w:space="0" w:color="auto"/>
              <w:right w:val="single" w:sz="4" w:space="0" w:color="auto"/>
            </w:tcBorders>
            <w:hideMark/>
          </w:tcPr>
          <w:p w14:paraId="788930D0" w14:textId="77777777" w:rsidR="009D652B" w:rsidRPr="00BE5A4A" w:rsidRDefault="009D652B" w:rsidP="009D652B">
            <w:pPr>
              <w:ind w:firstLine="63"/>
              <w:jc w:val="both"/>
            </w:pPr>
            <w:r w:rsidRPr="00BE5A4A">
              <w:t>Республика Беларусь</w:t>
            </w:r>
          </w:p>
        </w:tc>
        <w:tc>
          <w:tcPr>
            <w:tcW w:w="2013" w:type="dxa"/>
            <w:tcBorders>
              <w:top w:val="single" w:sz="4" w:space="0" w:color="auto"/>
              <w:left w:val="single" w:sz="4" w:space="0" w:color="auto"/>
              <w:bottom w:val="single" w:sz="4" w:space="0" w:color="auto"/>
              <w:right w:val="single" w:sz="4" w:space="0" w:color="auto"/>
            </w:tcBorders>
          </w:tcPr>
          <w:p w14:paraId="422293AC" w14:textId="77777777" w:rsidR="009D652B" w:rsidRPr="00BE5A4A" w:rsidRDefault="009D652B" w:rsidP="009D652B">
            <w:pPr>
              <w:jc w:val="center"/>
              <w:rPr>
                <w:lang w:val="ky-KG"/>
              </w:rPr>
            </w:pPr>
            <w:r w:rsidRPr="00BE5A4A">
              <w:rPr>
                <w:lang w:val="ky-KG"/>
              </w:rPr>
              <w:t>17,2</w:t>
            </w:r>
          </w:p>
        </w:tc>
        <w:tc>
          <w:tcPr>
            <w:tcW w:w="1984" w:type="dxa"/>
            <w:tcBorders>
              <w:top w:val="single" w:sz="4" w:space="0" w:color="auto"/>
              <w:left w:val="single" w:sz="4" w:space="0" w:color="auto"/>
              <w:bottom w:val="single" w:sz="4" w:space="0" w:color="auto"/>
              <w:right w:val="single" w:sz="4" w:space="0" w:color="auto"/>
            </w:tcBorders>
          </w:tcPr>
          <w:p w14:paraId="43880DEB" w14:textId="77777777" w:rsidR="009D652B" w:rsidRPr="009D652B" w:rsidRDefault="009D652B" w:rsidP="009D652B">
            <w:pPr>
              <w:jc w:val="center"/>
              <w:rPr>
                <w:lang w:val="ky-KG"/>
              </w:rPr>
            </w:pPr>
            <w:r w:rsidRPr="009D652B">
              <w:rPr>
                <w:lang w:val="ky-KG"/>
              </w:rPr>
              <w:t>17,9</w:t>
            </w:r>
          </w:p>
        </w:tc>
        <w:tc>
          <w:tcPr>
            <w:tcW w:w="1842" w:type="dxa"/>
            <w:tcBorders>
              <w:top w:val="single" w:sz="4" w:space="0" w:color="auto"/>
              <w:left w:val="single" w:sz="4" w:space="0" w:color="auto"/>
              <w:bottom w:val="single" w:sz="4" w:space="0" w:color="auto"/>
              <w:right w:val="single" w:sz="4" w:space="0" w:color="auto"/>
            </w:tcBorders>
          </w:tcPr>
          <w:p w14:paraId="558AC171" w14:textId="77777777" w:rsidR="009D652B" w:rsidRPr="009D652B" w:rsidRDefault="009D652B" w:rsidP="009D652B">
            <w:pPr>
              <w:jc w:val="center"/>
              <w:rPr>
                <w:lang w:val="ky-KG"/>
              </w:rPr>
            </w:pPr>
            <w:r w:rsidRPr="009D652B">
              <w:rPr>
                <w:lang w:val="ky-KG"/>
              </w:rPr>
              <w:t>21,0</w:t>
            </w:r>
          </w:p>
        </w:tc>
      </w:tr>
      <w:tr w:rsidR="00BE5A4A" w:rsidRPr="00BE5A4A" w14:paraId="0E853F57" w14:textId="77777777" w:rsidTr="002E6518">
        <w:tc>
          <w:tcPr>
            <w:tcW w:w="3828" w:type="dxa"/>
            <w:tcBorders>
              <w:top w:val="single" w:sz="4" w:space="0" w:color="auto"/>
              <w:left w:val="single" w:sz="4" w:space="0" w:color="auto"/>
              <w:bottom w:val="single" w:sz="4" w:space="0" w:color="auto"/>
              <w:right w:val="single" w:sz="4" w:space="0" w:color="auto"/>
            </w:tcBorders>
            <w:hideMark/>
          </w:tcPr>
          <w:p w14:paraId="7D32CA10" w14:textId="77777777" w:rsidR="00BE5A4A" w:rsidRPr="00BE5A4A" w:rsidRDefault="00BE5A4A" w:rsidP="00BE5A4A">
            <w:pPr>
              <w:ind w:firstLine="63"/>
              <w:jc w:val="both"/>
            </w:pPr>
            <w:r w:rsidRPr="00BE5A4A">
              <w:t>Республика Казахстан</w:t>
            </w:r>
          </w:p>
        </w:tc>
        <w:tc>
          <w:tcPr>
            <w:tcW w:w="2013" w:type="dxa"/>
            <w:tcBorders>
              <w:top w:val="single" w:sz="4" w:space="0" w:color="auto"/>
              <w:left w:val="single" w:sz="4" w:space="0" w:color="auto"/>
              <w:bottom w:val="single" w:sz="4" w:space="0" w:color="auto"/>
              <w:right w:val="single" w:sz="4" w:space="0" w:color="auto"/>
            </w:tcBorders>
          </w:tcPr>
          <w:p w14:paraId="207EB6EF" w14:textId="77777777" w:rsidR="00BE5A4A" w:rsidRPr="00BE5A4A" w:rsidRDefault="00BE5A4A" w:rsidP="00BE5A4A">
            <w:pPr>
              <w:jc w:val="center"/>
              <w:rPr>
                <w:lang w:val="ky-KG"/>
              </w:rPr>
            </w:pPr>
            <w:r w:rsidRPr="00BE5A4A">
              <w:rPr>
                <w:lang w:val="ky-KG"/>
              </w:rPr>
              <w:t>27,0</w:t>
            </w:r>
          </w:p>
        </w:tc>
        <w:tc>
          <w:tcPr>
            <w:tcW w:w="1984" w:type="dxa"/>
            <w:tcBorders>
              <w:top w:val="single" w:sz="4" w:space="0" w:color="auto"/>
              <w:left w:val="single" w:sz="4" w:space="0" w:color="auto"/>
              <w:bottom w:val="single" w:sz="4" w:space="0" w:color="auto"/>
              <w:right w:val="single" w:sz="4" w:space="0" w:color="auto"/>
            </w:tcBorders>
          </w:tcPr>
          <w:p w14:paraId="383CB0B0" w14:textId="77777777" w:rsidR="00BE5A4A" w:rsidRPr="00BE5A4A" w:rsidRDefault="00BE5A4A" w:rsidP="00BE5A4A">
            <w:pPr>
              <w:jc w:val="center"/>
              <w:rPr>
                <w:lang w:val="ky-KG"/>
              </w:rPr>
            </w:pPr>
            <w:r w:rsidRPr="009D652B">
              <w:rPr>
                <w:lang w:val="ky-KG"/>
              </w:rPr>
              <w:t>23,4</w:t>
            </w:r>
          </w:p>
        </w:tc>
        <w:tc>
          <w:tcPr>
            <w:tcW w:w="1842" w:type="dxa"/>
            <w:tcBorders>
              <w:top w:val="single" w:sz="4" w:space="0" w:color="auto"/>
              <w:left w:val="single" w:sz="4" w:space="0" w:color="auto"/>
              <w:bottom w:val="single" w:sz="4" w:space="0" w:color="auto"/>
              <w:right w:val="single" w:sz="4" w:space="0" w:color="auto"/>
            </w:tcBorders>
          </w:tcPr>
          <w:p w14:paraId="0B531CD1" w14:textId="77777777" w:rsidR="00BE5A4A" w:rsidRPr="00BE5A4A" w:rsidRDefault="00BE5A4A" w:rsidP="00BE5A4A">
            <w:pPr>
              <w:jc w:val="center"/>
              <w:rPr>
                <w:lang w:val="ky-KG"/>
              </w:rPr>
            </w:pPr>
            <w:r w:rsidRPr="009D652B">
              <w:rPr>
                <w:lang w:val="ky-KG"/>
              </w:rPr>
              <w:t>21,7</w:t>
            </w:r>
          </w:p>
        </w:tc>
      </w:tr>
      <w:tr w:rsidR="00BE5A4A" w:rsidRPr="00BE5A4A" w14:paraId="7440F1F5" w14:textId="77777777" w:rsidTr="002E6518">
        <w:trPr>
          <w:trHeight w:val="227"/>
        </w:trPr>
        <w:tc>
          <w:tcPr>
            <w:tcW w:w="3828" w:type="dxa"/>
            <w:tcBorders>
              <w:top w:val="single" w:sz="4" w:space="0" w:color="auto"/>
              <w:left w:val="single" w:sz="4" w:space="0" w:color="auto"/>
              <w:bottom w:val="single" w:sz="4" w:space="0" w:color="auto"/>
              <w:right w:val="single" w:sz="4" w:space="0" w:color="auto"/>
            </w:tcBorders>
            <w:hideMark/>
          </w:tcPr>
          <w:p w14:paraId="28DBB609" w14:textId="77777777" w:rsidR="00BE5A4A" w:rsidRPr="00BE5A4A" w:rsidRDefault="00BE5A4A" w:rsidP="00BE5A4A">
            <w:pPr>
              <w:ind w:firstLine="63"/>
              <w:jc w:val="both"/>
            </w:pPr>
            <w:r w:rsidRPr="00BE5A4A">
              <w:t>Кыргызская Республика</w:t>
            </w:r>
          </w:p>
        </w:tc>
        <w:tc>
          <w:tcPr>
            <w:tcW w:w="2013" w:type="dxa"/>
            <w:tcBorders>
              <w:top w:val="single" w:sz="4" w:space="0" w:color="auto"/>
              <w:left w:val="single" w:sz="4" w:space="0" w:color="auto"/>
              <w:bottom w:val="single" w:sz="4" w:space="0" w:color="auto"/>
              <w:right w:val="single" w:sz="4" w:space="0" w:color="auto"/>
            </w:tcBorders>
          </w:tcPr>
          <w:p w14:paraId="0FE35169" w14:textId="77777777" w:rsidR="00BE5A4A" w:rsidRPr="00BE5A4A" w:rsidRDefault="00BE5A4A" w:rsidP="00BE5A4A">
            <w:pPr>
              <w:jc w:val="center"/>
              <w:rPr>
                <w:lang w:val="ky-KG"/>
              </w:rPr>
            </w:pPr>
            <w:r w:rsidRPr="00BE5A4A">
              <w:rPr>
                <w:lang w:val="ky-KG"/>
              </w:rPr>
              <w:t>24,9</w:t>
            </w:r>
          </w:p>
        </w:tc>
        <w:tc>
          <w:tcPr>
            <w:tcW w:w="1984" w:type="dxa"/>
            <w:tcBorders>
              <w:top w:val="single" w:sz="4" w:space="0" w:color="auto"/>
              <w:left w:val="single" w:sz="4" w:space="0" w:color="auto"/>
              <w:bottom w:val="single" w:sz="4" w:space="0" w:color="auto"/>
              <w:right w:val="single" w:sz="4" w:space="0" w:color="auto"/>
            </w:tcBorders>
          </w:tcPr>
          <w:p w14:paraId="1EB6F054" w14:textId="77777777" w:rsidR="00BE5A4A" w:rsidRPr="00BE5A4A" w:rsidRDefault="00BE5A4A" w:rsidP="00BE5A4A">
            <w:pPr>
              <w:jc w:val="center"/>
              <w:rPr>
                <w:lang w:val="ky-KG"/>
              </w:rPr>
            </w:pPr>
            <w:r w:rsidRPr="00BE5A4A">
              <w:rPr>
                <w:lang w:val="ky-KG"/>
              </w:rPr>
              <w:t>22,2</w:t>
            </w:r>
          </w:p>
        </w:tc>
        <w:tc>
          <w:tcPr>
            <w:tcW w:w="1842" w:type="dxa"/>
            <w:tcBorders>
              <w:top w:val="single" w:sz="4" w:space="0" w:color="auto"/>
              <w:left w:val="single" w:sz="4" w:space="0" w:color="auto"/>
              <w:bottom w:val="single" w:sz="4" w:space="0" w:color="auto"/>
              <w:right w:val="single" w:sz="4" w:space="0" w:color="auto"/>
            </w:tcBorders>
          </w:tcPr>
          <w:p w14:paraId="6B2E8F6B" w14:textId="77777777" w:rsidR="00BE5A4A" w:rsidRPr="00BE5A4A" w:rsidRDefault="00851AB9" w:rsidP="00BE5A4A">
            <w:pPr>
              <w:jc w:val="center"/>
              <w:rPr>
                <w:lang w:val="ky-KG"/>
              </w:rPr>
            </w:pPr>
            <w:r w:rsidRPr="00EC5CE7">
              <w:rPr>
                <w:color w:val="000000"/>
              </w:rPr>
              <w:t>25,6</w:t>
            </w:r>
          </w:p>
        </w:tc>
      </w:tr>
      <w:tr w:rsidR="00BE5A4A" w:rsidRPr="00BE5A4A" w14:paraId="2232B852" w14:textId="77777777" w:rsidTr="002E6518">
        <w:tc>
          <w:tcPr>
            <w:tcW w:w="3828" w:type="dxa"/>
            <w:tcBorders>
              <w:top w:val="single" w:sz="4" w:space="0" w:color="auto"/>
              <w:left w:val="single" w:sz="4" w:space="0" w:color="auto"/>
              <w:bottom w:val="single" w:sz="4" w:space="0" w:color="auto"/>
              <w:right w:val="single" w:sz="4" w:space="0" w:color="auto"/>
            </w:tcBorders>
            <w:hideMark/>
          </w:tcPr>
          <w:p w14:paraId="7A8F2808" w14:textId="77777777" w:rsidR="00BE5A4A" w:rsidRPr="00BE5A4A" w:rsidRDefault="00BE5A4A" w:rsidP="00BE5A4A">
            <w:pPr>
              <w:ind w:firstLine="63"/>
              <w:jc w:val="both"/>
            </w:pPr>
            <w:r w:rsidRPr="00BE5A4A">
              <w:t>Российская Федерация</w:t>
            </w:r>
          </w:p>
        </w:tc>
        <w:tc>
          <w:tcPr>
            <w:tcW w:w="2013" w:type="dxa"/>
            <w:tcBorders>
              <w:top w:val="single" w:sz="4" w:space="0" w:color="auto"/>
              <w:left w:val="single" w:sz="4" w:space="0" w:color="auto"/>
              <w:bottom w:val="single" w:sz="4" w:space="0" w:color="auto"/>
              <w:right w:val="single" w:sz="4" w:space="0" w:color="auto"/>
            </w:tcBorders>
          </w:tcPr>
          <w:p w14:paraId="60FFA7A0" w14:textId="77777777" w:rsidR="00BE5A4A" w:rsidRPr="00BE5A4A" w:rsidRDefault="00BE5A4A" w:rsidP="00BE5A4A">
            <w:pPr>
              <w:jc w:val="center"/>
              <w:rPr>
                <w:lang w:val="ky-KG"/>
              </w:rPr>
            </w:pPr>
            <w:r w:rsidRPr="00BE5A4A">
              <w:rPr>
                <w:lang w:val="ky-KG"/>
              </w:rPr>
              <w:t>12,5</w:t>
            </w:r>
          </w:p>
        </w:tc>
        <w:tc>
          <w:tcPr>
            <w:tcW w:w="1984" w:type="dxa"/>
            <w:tcBorders>
              <w:top w:val="single" w:sz="4" w:space="0" w:color="auto"/>
              <w:left w:val="single" w:sz="4" w:space="0" w:color="auto"/>
              <w:bottom w:val="single" w:sz="4" w:space="0" w:color="auto"/>
              <w:right w:val="single" w:sz="4" w:space="0" w:color="auto"/>
            </w:tcBorders>
          </w:tcPr>
          <w:p w14:paraId="4ACE948B" w14:textId="77777777" w:rsidR="00BE5A4A" w:rsidRPr="00EC5CE7" w:rsidRDefault="00BE5A4A" w:rsidP="00BE5A4A">
            <w:pPr>
              <w:jc w:val="center"/>
              <w:rPr>
                <w:color w:val="000000"/>
              </w:rPr>
            </w:pPr>
            <w:r w:rsidRPr="00EC5CE7">
              <w:rPr>
                <w:color w:val="000000"/>
              </w:rPr>
              <w:t>12,3</w:t>
            </w:r>
          </w:p>
        </w:tc>
        <w:tc>
          <w:tcPr>
            <w:tcW w:w="1842" w:type="dxa"/>
            <w:tcBorders>
              <w:top w:val="single" w:sz="4" w:space="0" w:color="auto"/>
              <w:left w:val="single" w:sz="4" w:space="0" w:color="auto"/>
              <w:bottom w:val="single" w:sz="4" w:space="0" w:color="auto"/>
              <w:right w:val="single" w:sz="4" w:space="0" w:color="auto"/>
            </w:tcBorders>
          </w:tcPr>
          <w:p w14:paraId="72257627" w14:textId="77777777" w:rsidR="00BE5A4A" w:rsidRPr="00EC5CE7" w:rsidRDefault="00BE5A4A" w:rsidP="00BE5A4A">
            <w:pPr>
              <w:jc w:val="center"/>
              <w:rPr>
                <w:color w:val="000000"/>
              </w:rPr>
            </w:pPr>
            <w:r w:rsidRPr="00EC5CE7">
              <w:rPr>
                <w:color w:val="000000"/>
              </w:rPr>
              <w:t>12,7</w:t>
            </w:r>
          </w:p>
        </w:tc>
      </w:tr>
      <w:tr w:rsidR="00BE5A4A" w:rsidRPr="00DD1974" w14:paraId="38D231E4" w14:textId="77777777" w:rsidTr="002E6518">
        <w:tc>
          <w:tcPr>
            <w:tcW w:w="3828" w:type="dxa"/>
            <w:tcBorders>
              <w:top w:val="single" w:sz="4" w:space="0" w:color="auto"/>
              <w:left w:val="single" w:sz="4" w:space="0" w:color="auto"/>
              <w:bottom w:val="single" w:sz="4" w:space="0" w:color="auto"/>
              <w:right w:val="single" w:sz="4" w:space="0" w:color="auto"/>
            </w:tcBorders>
            <w:hideMark/>
          </w:tcPr>
          <w:p w14:paraId="0ED5E8E6" w14:textId="77777777" w:rsidR="00BE5A4A" w:rsidRPr="00BE5A4A" w:rsidRDefault="00BE5A4A" w:rsidP="00BE5A4A">
            <w:pPr>
              <w:ind w:firstLine="63"/>
              <w:jc w:val="both"/>
            </w:pPr>
            <w:r w:rsidRPr="00BE5A4A">
              <w:t>Республика Таджикистан</w:t>
            </w:r>
          </w:p>
        </w:tc>
        <w:tc>
          <w:tcPr>
            <w:tcW w:w="2013" w:type="dxa"/>
            <w:tcBorders>
              <w:top w:val="single" w:sz="4" w:space="0" w:color="auto"/>
              <w:left w:val="single" w:sz="4" w:space="0" w:color="auto"/>
              <w:bottom w:val="single" w:sz="4" w:space="0" w:color="auto"/>
              <w:right w:val="single" w:sz="4" w:space="0" w:color="auto"/>
            </w:tcBorders>
          </w:tcPr>
          <w:p w14:paraId="3F54817E" w14:textId="77777777" w:rsidR="00BE5A4A" w:rsidRPr="00BE5A4A" w:rsidRDefault="00BE5A4A" w:rsidP="00BE5A4A">
            <w:pPr>
              <w:jc w:val="center"/>
              <w:rPr>
                <w:lang w:val="ky-KG"/>
              </w:rPr>
            </w:pPr>
            <w:r w:rsidRPr="00BE5A4A">
              <w:rPr>
                <w:lang w:val="ky-KG"/>
              </w:rPr>
              <w:t>18,2</w:t>
            </w:r>
          </w:p>
        </w:tc>
        <w:tc>
          <w:tcPr>
            <w:tcW w:w="1984" w:type="dxa"/>
            <w:tcBorders>
              <w:top w:val="single" w:sz="4" w:space="0" w:color="auto"/>
              <w:left w:val="single" w:sz="4" w:space="0" w:color="auto"/>
              <w:bottom w:val="single" w:sz="4" w:space="0" w:color="auto"/>
              <w:right w:val="single" w:sz="4" w:space="0" w:color="auto"/>
            </w:tcBorders>
          </w:tcPr>
          <w:p w14:paraId="27F8929F" w14:textId="77777777" w:rsidR="00BE5A4A" w:rsidRPr="00EC5CE7" w:rsidRDefault="00BE5A4A" w:rsidP="00BE5A4A">
            <w:pPr>
              <w:jc w:val="center"/>
              <w:rPr>
                <w:color w:val="000000"/>
              </w:rPr>
            </w:pPr>
            <w:r w:rsidRPr="00EC5CE7">
              <w:rPr>
                <w:color w:val="000000"/>
              </w:rPr>
              <w:t>23,4</w:t>
            </w:r>
          </w:p>
        </w:tc>
        <w:tc>
          <w:tcPr>
            <w:tcW w:w="1842" w:type="dxa"/>
            <w:tcBorders>
              <w:top w:val="single" w:sz="4" w:space="0" w:color="auto"/>
              <w:left w:val="single" w:sz="4" w:space="0" w:color="auto"/>
              <w:bottom w:val="single" w:sz="4" w:space="0" w:color="auto"/>
              <w:right w:val="single" w:sz="4" w:space="0" w:color="auto"/>
            </w:tcBorders>
          </w:tcPr>
          <w:p w14:paraId="061D9B0F" w14:textId="77777777" w:rsidR="00BE5A4A" w:rsidRPr="00EC5CE7" w:rsidRDefault="00BE5A4A" w:rsidP="00BE5A4A">
            <w:pPr>
              <w:jc w:val="center"/>
              <w:rPr>
                <w:color w:val="000000"/>
              </w:rPr>
            </w:pPr>
            <w:r w:rsidRPr="00EC5CE7">
              <w:rPr>
                <w:color w:val="000000"/>
              </w:rPr>
              <w:t>25,3</w:t>
            </w:r>
          </w:p>
        </w:tc>
      </w:tr>
    </w:tbl>
    <w:p w14:paraId="72D0CE71" w14:textId="0FCD95EC" w:rsidR="000A24F0" w:rsidRDefault="000A24F0" w:rsidP="005A7F34">
      <w:pPr>
        <w:ind w:firstLine="709"/>
        <w:jc w:val="both"/>
        <w:rPr>
          <w:sz w:val="16"/>
          <w:szCs w:val="16"/>
          <w:highlight w:val="yellow"/>
        </w:rPr>
      </w:pPr>
    </w:p>
    <w:p w14:paraId="5CFD30B6" w14:textId="784295DF" w:rsidR="00AF3755" w:rsidRDefault="00AF3755" w:rsidP="005A7F34">
      <w:pPr>
        <w:ind w:firstLine="709"/>
        <w:jc w:val="both"/>
        <w:rPr>
          <w:sz w:val="16"/>
          <w:szCs w:val="16"/>
          <w:highlight w:val="yellow"/>
        </w:rPr>
      </w:pPr>
    </w:p>
    <w:p w14:paraId="2D7C9176" w14:textId="1EE522AD" w:rsidR="00AF3755" w:rsidRDefault="00AF3755" w:rsidP="005A7F34">
      <w:pPr>
        <w:ind w:firstLine="709"/>
        <w:jc w:val="both"/>
        <w:rPr>
          <w:sz w:val="16"/>
          <w:szCs w:val="16"/>
          <w:highlight w:val="yellow"/>
        </w:rPr>
      </w:pPr>
    </w:p>
    <w:p w14:paraId="57701346" w14:textId="77777777" w:rsidR="00AF3755" w:rsidRPr="00DD1974" w:rsidRDefault="00AF3755" w:rsidP="005A7F34">
      <w:pPr>
        <w:ind w:firstLine="709"/>
        <w:jc w:val="both"/>
        <w:rPr>
          <w:sz w:val="16"/>
          <w:szCs w:val="16"/>
          <w:highlight w:val="yellow"/>
        </w:rPr>
      </w:pPr>
    </w:p>
    <w:p w14:paraId="4F8CC45A" w14:textId="77777777" w:rsidR="00AD5431" w:rsidRPr="00CD3203" w:rsidRDefault="00174F51" w:rsidP="00245933">
      <w:pPr>
        <w:ind w:firstLine="709"/>
        <w:jc w:val="both"/>
        <w:rPr>
          <w:b/>
        </w:rPr>
      </w:pPr>
      <w:r w:rsidRPr="00CD3203">
        <w:rPr>
          <w:b/>
        </w:rPr>
        <w:t>Норматив достаточности капитала</w:t>
      </w:r>
    </w:p>
    <w:p w14:paraId="6655A1E9" w14:textId="77777777" w:rsidR="00AD5431" w:rsidRPr="00CD3203" w:rsidRDefault="00AD5431" w:rsidP="00EA2CEC">
      <w:pPr>
        <w:ind w:right="-1" w:firstLine="709"/>
        <w:jc w:val="both"/>
        <w:rPr>
          <w:rFonts w:eastAsia="Calibri"/>
        </w:rPr>
      </w:pPr>
      <w:r w:rsidRPr="00CD3203">
        <w:rPr>
          <w:rFonts w:eastAsia="Calibri"/>
        </w:rPr>
        <w:t xml:space="preserve">Банковская система </w:t>
      </w:r>
      <w:r w:rsidRPr="00CD3203">
        <w:rPr>
          <w:rFonts w:eastAsia="Calibri"/>
          <w:b/>
          <w:i/>
        </w:rPr>
        <w:t>Республики Армении</w:t>
      </w:r>
      <w:r w:rsidRPr="00CD3203">
        <w:rPr>
          <w:rFonts w:eastAsia="Calibri"/>
        </w:rPr>
        <w:t xml:space="preserve"> поддерживает коэффициент достаточности капитала выше необходимого минимума, что обеспечивает предпосылки для покрытия возможных убытков и непрерывность операций. Адекватность капитала в конце 202</w:t>
      </w:r>
      <w:r w:rsidR="00C25B7A" w:rsidRPr="00CD3203">
        <w:rPr>
          <w:rFonts w:eastAsia="Calibri"/>
          <w:lang w:val="ky-KG"/>
        </w:rPr>
        <w:t>2</w:t>
      </w:r>
      <w:r w:rsidRPr="00CD3203">
        <w:rPr>
          <w:rFonts w:eastAsia="Calibri"/>
        </w:rPr>
        <w:t xml:space="preserve"> года составила </w:t>
      </w:r>
      <w:r w:rsidR="00C25B7A" w:rsidRPr="00CD3203">
        <w:rPr>
          <w:rFonts w:eastAsia="Calibri"/>
          <w:lang w:val="ky-KG"/>
        </w:rPr>
        <w:t>20</w:t>
      </w:r>
      <w:r w:rsidRPr="00CD3203">
        <w:rPr>
          <w:rFonts w:eastAsia="Calibri"/>
        </w:rPr>
        <w:t>.</w:t>
      </w:r>
      <w:r w:rsidR="00C25B7A" w:rsidRPr="00CD3203">
        <w:rPr>
          <w:rFonts w:eastAsia="Calibri"/>
          <w:lang w:val="ky-KG"/>
        </w:rPr>
        <w:t>3</w:t>
      </w:r>
      <w:r w:rsidRPr="00CD3203">
        <w:rPr>
          <w:rFonts w:eastAsia="Calibri"/>
        </w:rPr>
        <w:t>% (требуемый минимум составляет 12.0%).</w:t>
      </w:r>
    </w:p>
    <w:p w14:paraId="7E315317" w14:textId="77777777" w:rsidR="003E7146" w:rsidRPr="00851AB9" w:rsidRDefault="003E7146" w:rsidP="00EA2CEC">
      <w:pPr>
        <w:jc w:val="both"/>
        <w:rPr>
          <w:rFonts w:eastAsia="Calibri"/>
        </w:rPr>
      </w:pPr>
      <w:r w:rsidRPr="00CD3203">
        <w:rPr>
          <w:rFonts w:eastAsia="Calibri"/>
        </w:rPr>
        <w:t xml:space="preserve">Банками </w:t>
      </w:r>
      <w:r w:rsidRPr="00CD3203">
        <w:rPr>
          <w:rFonts w:eastAsia="Calibri"/>
          <w:b/>
          <w:i/>
        </w:rPr>
        <w:t>Республики Беларусь</w:t>
      </w:r>
      <w:r w:rsidRPr="00CD3203">
        <w:rPr>
          <w:rFonts w:eastAsia="Calibri"/>
        </w:rPr>
        <w:t xml:space="preserve"> соблюдались требования Национального банка к величине и достаточности нормативного капитала, в том числе с учетом значений консервационного буфера. Значение норматива достаточности нормативного капитала на 1 января 202</w:t>
      </w:r>
      <w:r w:rsidR="00851AB9" w:rsidRPr="00A85CBA">
        <w:rPr>
          <w:rFonts w:eastAsia="Calibri"/>
        </w:rPr>
        <w:t>3</w:t>
      </w:r>
      <w:r w:rsidRPr="00CD3203">
        <w:rPr>
          <w:rFonts w:eastAsia="Calibri"/>
        </w:rPr>
        <w:t xml:space="preserve"> г. составило </w:t>
      </w:r>
      <w:r w:rsidR="00CD3203" w:rsidRPr="00CD3203">
        <w:rPr>
          <w:rFonts w:eastAsia="Calibri"/>
        </w:rPr>
        <w:t>21</w:t>
      </w:r>
      <w:r w:rsidRPr="00CD3203">
        <w:rPr>
          <w:rFonts w:eastAsia="Calibri"/>
        </w:rPr>
        <w:t>,</w:t>
      </w:r>
      <w:r w:rsidR="00CD3203" w:rsidRPr="00CD3203">
        <w:rPr>
          <w:rFonts w:eastAsia="Calibri"/>
        </w:rPr>
        <w:t>0</w:t>
      </w:r>
      <w:r w:rsidRPr="00CD3203">
        <w:rPr>
          <w:rFonts w:eastAsia="Calibri"/>
        </w:rPr>
        <w:t xml:space="preserve"> процента при установленном минимальном значении для отдельного банка 10 процентов (12,5 процента с учетом консервационного буфера). Для </w:t>
      </w:r>
      <w:r w:rsidRPr="00851AB9">
        <w:rPr>
          <w:rFonts w:eastAsia="Calibri"/>
        </w:rPr>
        <w:t xml:space="preserve">снижения уровня системных рисков банковского сектора и предупреждения их образования внедрены и выполняются дополнительные требования к капиталу системно значимых банков. </w:t>
      </w:r>
    </w:p>
    <w:p w14:paraId="454D8554" w14:textId="77777777" w:rsidR="00335BDE" w:rsidRPr="00851AB9" w:rsidRDefault="00335BDE" w:rsidP="00335BDE">
      <w:pPr>
        <w:ind w:firstLine="709"/>
        <w:jc w:val="both"/>
        <w:rPr>
          <w:lang w:val="ky-KG"/>
        </w:rPr>
      </w:pPr>
      <w:r w:rsidRPr="00851AB9">
        <w:rPr>
          <w:rFonts w:eastAsia="Calibri"/>
          <w:b/>
          <w:i/>
        </w:rPr>
        <w:t>Республика Казахстан.</w:t>
      </w:r>
      <w:r w:rsidRPr="00851AB9">
        <w:t xml:space="preserve"> </w:t>
      </w:r>
      <w:r w:rsidRPr="00851AB9">
        <w:rPr>
          <w:lang w:val="ky-KG"/>
        </w:rPr>
        <w:t xml:space="preserve">Коэффициент достаточности основного капитала (к1) по системе составил 19,3%, коэффициент достаточности собственного капитала (к2) – </w:t>
      </w:r>
      <w:r w:rsidR="00851AB9" w:rsidRPr="00851AB9">
        <w:t>21,7</w:t>
      </w:r>
      <w:r w:rsidRPr="00851AB9">
        <w:rPr>
          <w:lang w:val="ky-KG"/>
        </w:rPr>
        <w:t>%, что в среднем по системе существенно превышает установленные законодательством нормативы.</w:t>
      </w:r>
    </w:p>
    <w:p w14:paraId="4A00B79D" w14:textId="77777777" w:rsidR="00CF5761" w:rsidRPr="00A85CBA" w:rsidRDefault="00542C03" w:rsidP="00542C03">
      <w:pPr>
        <w:ind w:firstLine="709"/>
        <w:contextualSpacing/>
        <w:jc w:val="both"/>
        <w:rPr>
          <w:rFonts w:eastAsia="Calibri"/>
          <w:b/>
          <w:i/>
          <w:highlight w:val="yellow"/>
        </w:rPr>
      </w:pPr>
      <w:r w:rsidRPr="004B2C32">
        <w:rPr>
          <w:rFonts w:eastAsia="Calibri"/>
          <w:b/>
          <w:i/>
        </w:rPr>
        <w:t xml:space="preserve">Кыргызская </w:t>
      </w:r>
      <w:r w:rsidR="00CF5761" w:rsidRPr="004B2C32">
        <w:rPr>
          <w:rFonts w:eastAsia="Calibri"/>
          <w:b/>
          <w:i/>
        </w:rPr>
        <w:t>Республика.</w:t>
      </w:r>
      <w:r w:rsidR="00CF5761" w:rsidRPr="004B2C32">
        <w:rPr>
          <w:rFonts w:eastAsia="Calibri"/>
        </w:rPr>
        <w:t xml:space="preserve"> </w:t>
      </w:r>
      <w:r w:rsidR="004B2C32" w:rsidRPr="00A85CBA">
        <w:rPr>
          <w:rFonts w:eastAsia="Calibri"/>
        </w:rPr>
        <w:t xml:space="preserve"> Коэффициент достаточности (адекватности) суммарного капитала по банковскому сектору составил 25,6 процента (на 1 января 2021 года – 22,19 процента) при нормативе 12,0 процента, коэффициент </w:t>
      </w:r>
      <w:r w:rsidR="006F0FD9" w:rsidRPr="00A85CBA">
        <w:rPr>
          <w:rFonts w:eastAsia="Calibri"/>
        </w:rPr>
        <w:t>левер</w:t>
      </w:r>
      <w:r w:rsidR="006F0FD9">
        <w:rPr>
          <w:rFonts w:eastAsia="Calibri"/>
        </w:rPr>
        <w:t>иджа</w:t>
      </w:r>
      <w:r w:rsidR="006F0FD9" w:rsidRPr="00A85CBA">
        <w:rPr>
          <w:rFonts w:eastAsia="Calibri"/>
        </w:rPr>
        <w:t xml:space="preserve"> </w:t>
      </w:r>
      <w:r w:rsidR="004B2C32" w:rsidRPr="00A85CBA">
        <w:rPr>
          <w:rFonts w:eastAsia="Calibri"/>
        </w:rPr>
        <w:t>по банковскому сектору составил 17,0 процента (на 1 января 2022 года – 14,5 процента) при нормативе 6,0 процента.</w:t>
      </w:r>
    </w:p>
    <w:p w14:paraId="1890E28C" w14:textId="77777777" w:rsidR="006F0FD9" w:rsidRDefault="00CF5761" w:rsidP="006F0FD9">
      <w:pPr>
        <w:ind w:firstLine="709"/>
        <w:jc w:val="both"/>
      </w:pPr>
      <w:r w:rsidRPr="004B2C32">
        <w:rPr>
          <w:b/>
          <w:i/>
          <w:lang w:val="ky-KG"/>
        </w:rPr>
        <w:t xml:space="preserve">Российская Федерация. </w:t>
      </w:r>
      <w:r w:rsidR="006F0FD9" w:rsidRPr="00FE1119">
        <w:t>В 2022 году российский банковский сектор столкнулся с широким спектром вызовов в условиях беспрецедентного санкционного давления. Но накопленный запас прочности, меры господдержки, а также временные регуляторные послабления Банка России позволили банкам сохранить устойчивость в кризис и адаптироваться к изменившимся условиям.</w:t>
      </w:r>
    </w:p>
    <w:p w14:paraId="094FC68A" w14:textId="77777777" w:rsidR="006F0FD9" w:rsidRPr="004B2C32" w:rsidRDefault="006F0FD9" w:rsidP="006F0FD9">
      <w:pPr>
        <w:ind w:firstLine="709"/>
        <w:jc w:val="both"/>
      </w:pPr>
      <w:r w:rsidRPr="004B2C32">
        <w:t>Норматив достаточности капитала по итогам 202</w:t>
      </w:r>
      <w:r w:rsidRPr="00A85CBA">
        <w:t>2</w:t>
      </w:r>
      <w:r w:rsidRPr="004B2C32">
        <w:t xml:space="preserve"> года составил 12,</w:t>
      </w:r>
      <w:r w:rsidRPr="00A85CBA">
        <w:t>7</w:t>
      </w:r>
      <w:r w:rsidRPr="004B2C32">
        <w:t>% при нормативе не менее 8%.</w:t>
      </w:r>
    </w:p>
    <w:p w14:paraId="54806004" w14:textId="77777777" w:rsidR="00790D4F" w:rsidRPr="00A14FB9" w:rsidRDefault="00790D4F" w:rsidP="006F0FD9">
      <w:pPr>
        <w:ind w:firstLine="709"/>
        <w:jc w:val="both"/>
      </w:pPr>
      <w:r w:rsidRPr="00A14FB9">
        <w:rPr>
          <w:b/>
          <w:i/>
        </w:rPr>
        <w:t>Республика Таджикистан.</w:t>
      </w:r>
      <w:r w:rsidRPr="00A14FB9">
        <w:t xml:space="preserve"> Норматив достаточности капитала по итогам 202</w:t>
      </w:r>
      <w:r w:rsidR="00A14FB9" w:rsidRPr="00A85CBA">
        <w:t>2</w:t>
      </w:r>
      <w:r w:rsidRPr="00A14FB9">
        <w:t xml:space="preserve"> года вырос в сравнении с итогами 202</w:t>
      </w:r>
      <w:r w:rsidR="00A14FB9" w:rsidRPr="00A85CBA">
        <w:t>1</w:t>
      </w:r>
      <w:r w:rsidRPr="00A14FB9">
        <w:t xml:space="preserve"> года и составил 2</w:t>
      </w:r>
      <w:r w:rsidR="00A14FB9" w:rsidRPr="00A85CBA">
        <w:t>5</w:t>
      </w:r>
      <w:r w:rsidRPr="00A14FB9">
        <w:t>,</w:t>
      </w:r>
      <w:r w:rsidR="00A14FB9" w:rsidRPr="00A85CBA">
        <w:t>3</w:t>
      </w:r>
      <w:r w:rsidRPr="00A14FB9">
        <w:t>% при нормативе не менее 12%.</w:t>
      </w:r>
    </w:p>
    <w:p w14:paraId="5BF06905" w14:textId="77777777" w:rsidR="00AD5431" w:rsidRPr="00DD1974" w:rsidRDefault="00AD5431" w:rsidP="00245933">
      <w:pPr>
        <w:ind w:firstLine="709"/>
        <w:jc w:val="both"/>
        <w:rPr>
          <w:highlight w:val="yellow"/>
        </w:rPr>
      </w:pPr>
    </w:p>
    <w:p w14:paraId="30F9D06A" w14:textId="77777777" w:rsidR="00245933" w:rsidRPr="00DD1974" w:rsidRDefault="00245933" w:rsidP="00245933">
      <w:pPr>
        <w:jc w:val="both"/>
        <w:rPr>
          <w:sz w:val="10"/>
          <w:szCs w:val="10"/>
          <w:highlight w:val="yellow"/>
          <w:lang w:val="ky-KG"/>
        </w:rPr>
      </w:pPr>
    </w:p>
    <w:p w14:paraId="7ABD460D" w14:textId="77777777" w:rsidR="009E1FA9" w:rsidRPr="00BE5A4A" w:rsidRDefault="009E1FA9" w:rsidP="00A53E3F">
      <w:pPr>
        <w:pStyle w:val="a8"/>
        <w:ind w:firstLine="0"/>
        <w:jc w:val="left"/>
        <w:outlineLvl w:val="2"/>
        <w:rPr>
          <w:b/>
        </w:rPr>
      </w:pPr>
      <w:r w:rsidRPr="00A53E3F">
        <w:rPr>
          <w:b/>
          <w:sz w:val="24"/>
        </w:rPr>
        <w:t>Таблица 6. Коэффициент</w:t>
      </w:r>
      <w:r w:rsidR="006F0FD9">
        <w:rPr>
          <w:b/>
          <w:sz w:val="24"/>
        </w:rPr>
        <w:t>ы</w:t>
      </w:r>
      <w:r w:rsidRPr="00A53E3F">
        <w:rPr>
          <w:b/>
          <w:sz w:val="24"/>
        </w:rPr>
        <w:t xml:space="preserve"> ликвидности (в процентах)</w:t>
      </w:r>
    </w:p>
    <w:p w14:paraId="4A354EDE" w14:textId="77777777" w:rsidR="009E1FA9" w:rsidRPr="00BE5A4A" w:rsidRDefault="009E1FA9" w:rsidP="005A7F34">
      <w:pPr>
        <w:ind w:firstLine="709"/>
        <w:jc w:val="both"/>
        <w:rPr>
          <w:b/>
          <w:u w:val="single"/>
        </w:rPr>
      </w:pPr>
    </w:p>
    <w:tbl>
      <w:tblPr>
        <w:tblW w:w="97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56"/>
        <w:gridCol w:w="1896"/>
        <w:gridCol w:w="1984"/>
        <w:gridCol w:w="1985"/>
      </w:tblGrid>
      <w:tr w:rsidR="00BE5A4A" w:rsidRPr="00BE5A4A" w14:paraId="1394427C" w14:textId="77777777" w:rsidTr="00E4154D">
        <w:tc>
          <w:tcPr>
            <w:tcW w:w="3856" w:type="dxa"/>
            <w:tcBorders>
              <w:top w:val="single" w:sz="4" w:space="0" w:color="auto"/>
              <w:left w:val="single" w:sz="4" w:space="0" w:color="auto"/>
              <w:bottom w:val="single" w:sz="4" w:space="0" w:color="auto"/>
              <w:right w:val="single" w:sz="4" w:space="0" w:color="auto"/>
            </w:tcBorders>
          </w:tcPr>
          <w:p w14:paraId="7A1F7515" w14:textId="77777777" w:rsidR="00BE5A4A" w:rsidRPr="00BE5A4A" w:rsidRDefault="00BE5A4A" w:rsidP="00BE5A4A">
            <w:pPr>
              <w:ind w:firstLine="709"/>
              <w:jc w:val="both"/>
              <w:rPr>
                <w:b/>
              </w:rPr>
            </w:pPr>
            <w:r w:rsidRPr="00BE5A4A">
              <w:rPr>
                <w:b/>
              </w:rPr>
              <w:t>Страны</w:t>
            </w:r>
          </w:p>
        </w:tc>
        <w:tc>
          <w:tcPr>
            <w:tcW w:w="1896" w:type="dxa"/>
            <w:tcBorders>
              <w:top w:val="single" w:sz="4" w:space="0" w:color="auto"/>
              <w:left w:val="single" w:sz="4" w:space="0" w:color="auto"/>
              <w:bottom w:val="single" w:sz="4" w:space="0" w:color="auto"/>
              <w:right w:val="single" w:sz="4" w:space="0" w:color="auto"/>
            </w:tcBorders>
          </w:tcPr>
          <w:p w14:paraId="23DBB00D" w14:textId="77777777" w:rsidR="00BE5A4A" w:rsidRPr="00BE5A4A" w:rsidRDefault="00BE5A4A" w:rsidP="00BE5A4A">
            <w:pPr>
              <w:jc w:val="center"/>
              <w:rPr>
                <w:b/>
                <w:lang w:val="ky-KG"/>
              </w:rPr>
            </w:pPr>
            <w:r w:rsidRPr="00BE5A4A">
              <w:rPr>
                <w:b/>
                <w:lang w:val="ky-KG"/>
              </w:rPr>
              <w:t>31.12.2020</w:t>
            </w:r>
          </w:p>
        </w:tc>
        <w:tc>
          <w:tcPr>
            <w:tcW w:w="1984" w:type="dxa"/>
            <w:tcBorders>
              <w:top w:val="single" w:sz="4" w:space="0" w:color="auto"/>
              <w:left w:val="single" w:sz="4" w:space="0" w:color="auto"/>
              <w:bottom w:val="single" w:sz="4" w:space="0" w:color="auto"/>
              <w:right w:val="single" w:sz="4" w:space="0" w:color="auto"/>
            </w:tcBorders>
          </w:tcPr>
          <w:p w14:paraId="3DFD9B4B" w14:textId="77777777" w:rsidR="00BE5A4A" w:rsidRPr="00BE5A4A" w:rsidRDefault="00BE5A4A" w:rsidP="00BE5A4A">
            <w:pPr>
              <w:jc w:val="center"/>
              <w:rPr>
                <w:b/>
                <w:lang w:val="ky-KG"/>
              </w:rPr>
            </w:pPr>
            <w:r w:rsidRPr="00BE5A4A">
              <w:rPr>
                <w:b/>
                <w:lang w:val="ky-KG"/>
              </w:rPr>
              <w:t>31.12.2021</w:t>
            </w:r>
          </w:p>
        </w:tc>
        <w:tc>
          <w:tcPr>
            <w:tcW w:w="1985" w:type="dxa"/>
            <w:tcBorders>
              <w:top w:val="single" w:sz="4" w:space="0" w:color="auto"/>
              <w:left w:val="single" w:sz="4" w:space="0" w:color="auto"/>
              <w:bottom w:val="single" w:sz="4" w:space="0" w:color="auto"/>
              <w:right w:val="single" w:sz="4" w:space="0" w:color="auto"/>
            </w:tcBorders>
          </w:tcPr>
          <w:p w14:paraId="453B6B68" w14:textId="77777777" w:rsidR="00BE5A4A" w:rsidRPr="00BE5A4A" w:rsidRDefault="00BE5A4A" w:rsidP="007507E3">
            <w:pPr>
              <w:jc w:val="center"/>
              <w:rPr>
                <w:b/>
                <w:lang w:val="ky-KG"/>
              </w:rPr>
            </w:pPr>
            <w:r w:rsidRPr="00BE5A4A">
              <w:rPr>
                <w:b/>
                <w:lang w:val="ky-KG"/>
              </w:rPr>
              <w:t>31.12.</w:t>
            </w:r>
            <w:r w:rsidR="007507E3" w:rsidRPr="00BE5A4A">
              <w:rPr>
                <w:b/>
                <w:lang w:val="ky-KG"/>
              </w:rPr>
              <w:t>202</w:t>
            </w:r>
            <w:r w:rsidR="007507E3">
              <w:rPr>
                <w:b/>
                <w:lang w:val="ky-KG"/>
              </w:rPr>
              <w:t>2</w:t>
            </w:r>
          </w:p>
        </w:tc>
      </w:tr>
      <w:tr w:rsidR="00BE5A4A" w:rsidRPr="00BE5A4A" w14:paraId="65C12B5C" w14:textId="77777777" w:rsidTr="00E4154D">
        <w:tc>
          <w:tcPr>
            <w:tcW w:w="3856" w:type="dxa"/>
            <w:tcBorders>
              <w:top w:val="single" w:sz="4" w:space="0" w:color="auto"/>
              <w:left w:val="single" w:sz="4" w:space="0" w:color="auto"/>
              <w:bottom w:val="single" w:sz="4" w:space="0" w:color="auto"/>
              <w:right w:val="single" w:sz="4" w:space="0" w:color="auto"/>
            </w:tcBorders>
          </w:tcPr>
          <w:p w14:paraId="39C75063" w14:textId="77777777" w:rsidR="00BE5A4A" w:rsidRPr="00BE5A4A" w:rsidRDefault="00BE5A4A" w:rsidP="00BE5A4A">
            <w:pPr>
              <w:ind w:firstLine="63"/>
              <w:jc w:val="both"/>
            </w:pPr>
            <w:r w:rsidRPr="00BE5A4A">
              <w:t>Республика Армения</w:t>
            </w:r>
          </w:p>
        </w:tc>
        <w:tc>
          <w:tcPr>
            <w:tcW w:w="1896" w:type="dxa"/>
            <w:tcBorders>
              <w:top w:val="single" w:sz="4" w:space="0" w:color="auto"/>
              <w:left w:val="single" w:sz="4" w:space="0" w:color="auto"/>
              <w:bottom w:val="single" w:sz="4" w:space="0" w:color="auto"/>
              <w:right w:val="single" w:sz="4" w:space="0" w:color="auto"/>
            </w:tcBorders>
          </w:tcPr>
          <w:p w14:paraId="2E63A86D" w14:textId="77777777" w:rsidR="00BE5A4A" w:rsidRPr="00BE5A4A" w:rsidRDefault="00BE5A4A" w:rsidP="00BE5A4A">
            <w:pPr>
              <w:jc w:val="center"/>
              <w:rPr>
                <w:lang w:val="ky-KG"/>
              </w:rPr>
            </w:pPr>
            <w:r w:rsidRPr="00BE5A4A">
              <w:rPr>
                <w:lang w:val="ky-KG"/>
              </w:rPr>
              <w:t>25,62</w:t>
            </w:r>
          </w:p>
        </w:tc>
        <w:tc>
          <w:tcPr>
            <w:tcW w:w="1984" w:type="dxa"/>
            <w:tcBorders>
              <w:top w:val="single" w:sz="4" w:space="0" w:color="auto"/>
              <w:left w:val="single" w:sz="4" w:space="0" w:color="auto"/>
              <w:bottom w:val="single" w:sz="4" w:space="0" w:color="auto"/>
              <w:right w:val="single" w:sz="4" w:space="0" w:color="auto"/>
            </w:tcBorders>
          </w:tcPr>
          <w:p w14:paraId="40413BDC" w14:textId="77777777" w:rsidR="00BE5A4A" w:rsidRPr="00BE5A4A" w:rsidRDefault="00BE5A4A" w:rsidP="00BE5A4A">
            <w:pPr>
              <w:jc w:val="center"/>
              <w:rPr>
                <w:lang w:val="ky-KG"/>
              </w:rPr>
            </w:pPr>
            <w:r w:rsidRPr="00BE5A4A">
              <w:rPr>
                <w:lang w:val="ky-KG"/>
              </w:rPr>
              <w:t>32,03</w:t>
            </w:r>
          </w:p>
        </w:tc>
        <w:tc>
          <w:tcPr>
            <w:tcW w:w="1985" w:type="dxa"/>
            <w:tcBorders>
              <w:top w:val="single" w:sz="4" w:space="0" w:color="auto"/>
              <w:left w:val="single" w:sz="4" w:space="0" w:color="auto"/>
              <w:bottom w:val="single" w:sz="4" w:space="0" w:color="auto"/>
              <w:right w:val="single" w:sz="4" w:space="0" w:color="auto"/>
            </w:tcBorders>
          </w:tcPr>
          <w:p w14:paraId="21A22DBB" w14:textId="77777777" w:rsidR="00BE5A4A" w:rsidRPr="00BE5A4A" w:rsidRDefault="00BE5A4A" w:rsidP="00BE5A4A">
            <w:pPr>
              <w:jc w:val="center"/>
              <w:rPr>
                <w:lang w:val="ky-KG"/>
              </w:rPr>
            </w:pPr>
            <w:r w:rsidRPr="00ED3438">
              <w:rPr>
                <w:color w:val="000000"/>
              </w:rPr>
              <w:t>3</w:t>
            </w:r>
            <w:r>
              <w:rPr>
                <w:color w:val="000000"/>
              </w:rPr>
              <w:t>6,</w:t>
            </w:r>
            <w:r w:rsidRPr="00ED3438">
              <w:rPr>
                <w:color w:val="000000"/>
              </w:rPr>
              <w:t>96</w:t>
            </w:r>
          </w:p>
        </w:tc>
      </w:tr>
      <w:tr w:rsidR="009B0639" w:rsidRPr="00BE5A4A" w14:paraId="340503EE" w14:textId="77777777" w:rsidTr="00E4154D">
        <w:tc>
          <w:tcPr>
            <w:tcW w:w="3856" w:type="dxa"/>
            <w:tcBorders>
              <w:top w:val="single" w:sz="4" w:space="0" w:color="auto"/>
              <w:left w:val="single" w:sz="4" w:space="0" w:color="auto"/>
              <w:bottom w:val="single" w:sz="4" w:space="0" w:color="auto"/>
              <w:right w:val="single" w:sz="4" w:space="0" w:color="auto"/>
            </w:tcBorders>
            <w:hideMark/>
          </w:tcPr>
          <w:p w14:paraId="3EA94CC0" w14:textId="77777777" w:rsidR="009B0639" w:rsidRPr="00BE5A4A" w:rsidRDefault="009B0639" w:rsidP="009B0639">
            <w:pPr>
              <w:ind w:firstLine="63"/>
              <w:jc w:val="both"/>
            </w:pPr>
            <w:r w:rsidRPr="00BE5A4A">
              <w:t>Республика Беларусь</w:t>
            </w:r>
          </w:p>
        </w:tc>
        <w:tc>
          <w:tcPr>
            <w:tcW w:w="1896" w:type="dxa"/>
            <w:tcBorders>
              <w:top w:val="single" w:sz="4" w:space="0" w:color="auto"/>
              <w:left w:val="single" w:sz="4" w:space="0" w:color="auto"/>
              <w:bottom w:val="single" w:sz="4" w:space="0" w:color="auto"/>
              <w:right w:val="single" w:sz="4" w:space="0" w:color="auto"/>
            </w:tcBorders>
          </w:tcPr>
          <w:p w14:paraId="7FF243E7" w14:textId="77777777" w:rsidR="009B0639" w:rsidRPr="00BE5A4A" w:rsidRDefault="00EA2CEC" w:rsidP="009B0639">
            <w:pPr>
              <w:ind w:firstLine="34"/>
              <w:jc w:val="center"/>
            </w:pPr>
            <w:r>
              <w:t>122,9</w:t>
            </w:r>
          </w:p>
        </w:tc>
        <w:tc>
          <w:tcPr>
            <w:tcW w:w="1984" w:type="dxa"/>
            <w:tcBorders>
              <w:top w:val="single" w:sz="4" w:space="0" w:color="auto"/>
              <w:left w:val="single" w:sz="4" w:space="0" w:color="auto"/>
              <w:bottom w:val="single" w:sz="4" w:space="0" w:color="auto"/>
              <w:right w:val="single" w:sz="4" w:space="0" w:color="auto"/>
            </w:tcBorders>
          </w:tcPr>
          <w:p w14:paraId="0C23F32D" w14:textId="77777777" w:rsidR="009B0639" w:rsidRPr="009B0639" w:rsidRDefault="009B0639" w:rsidP="009B0639">
            <w:pPr>
              <w:jc w:val="center"/>
              <w:rPr>
                <w:lang w:val="ky-KG"/>
              </w:rPr>
            </w:pPr>
            <w:r w:rsidRPr="009B0639">
              <w:rPr>
                <w:lang w:val="ky-KG"/>
              </w:rPr>
              <w:t>141,9</w:t>
            </w:r>
          </w:p>
        </w:tc>
        <w:tc>
          <w:tcPr>
            <w:tcW w:w="1985" w:type="dxa"/>
            <w:tcBorders>
              <w:top w:val="single" w:sz="4" w:space="0" w:color="auto"/>
              <w:left w:val="single" w:sz="4" w:space="0" w:color="auto"/>
              <w:bottom w:val="single" w:sz="4" w:space="0" w:color="auto"/>
              <w:right w:val="single" w:sz="4" w:space="0" w:color="auto"/>
            </w:tcBorders>
          </w:tcPr>
          <w:p w14:paraId="5A34BB5F" w14:textId="77777777" w:rsidR="009B0639" w:rsidRPr="009B0639" w:rsidRDefault="009B0639" w:rsidP="009B0639">
            <w:pPr>
              <w:jc w:val="center"/>
              <w:rPr>
                <w:lang w:val="ky-KG"/>
              </w:rPr>
            </w:pPr>
            <w:r w:rsidRPr="009B0639">
              <w:rPr>
                <w:lang w:val="ky-KG"/>
              </w:rPr>
              <w:t>180,6</w:t>
            </w:r>
          </w:p>
        </w:tc>
      </w:tr>
      <w:tr w:rsidR="00BE5A4A" w:rsidRPr="00BE5A4A" w14:paraId="5387E9F9" w14:textId="77777777" w:rsidTr="00E4154D">
        <w:tc>
          <w:tcPr>
            <w:tcW w:w="3856" w:type="dxa"/>
            <w:tcBorders>
              <w:top w:val="single" w:sz="4" w:space="0" w:color="auto"/>
              <w:left w:val="single" w:sz="4" w:space="0" w:color="auto"/>
              <w:bottom w:val="single" w:sz="4" w:space="0" w:color="auto"/>
              <w:right w:val="single" w:sz="4" w:space="0" w:color="auto"/>
            </w:tcBorders>
            <w:hideMark/>
          </w:tcPr>
          <w:p w14:paraId="3F7481D3" w14:textId="77777777" w:rsidR="00BE5A4A" w:rsidRPr="00BE5A4A" w:rsidRDefault="00BE5A4A" w:rsidP="00BE5A4A">
            <w:pPr>
              <w:ind w:firstLine="63"/>
              <w:jc w:val="both"/>
            </w:pPr>
            <w:r w:rsidRPr="00BE5A4A">
              <w:t>Республика Казахстан</w:t>
            </w:r>
          </w:p>
        </w:tc>
        <w:tc>
          <w:tcPr>
            <w:tcW w:w="1896" w:type="dxa"/>
            <w:tcBorders>
              <w:top w:val="single" w:sz="4" w:space="0" w:color="auto"/>
              <w:left w:val="single" w:sz="4" w:space="0" w:color="auto"/>
              <w:bottom w:val="single" w:sz="4" w:space="0" w:color="auto"/>
              <w:right w:val="single" w:sz="4" w:space="0" w:color="auto"/>
            </w:tcBorders>
          </w:tcPr>
          <w:p w14:paraId="73A5569D" w14:textId="77777777" w:rsidR="00BE5A4A" w:rsidRPr="00BE5A4A" w:rsidRDefault="00BE5A4A" w:rsidP="00BE5A4A">
            <w:pPr>
              <w:jc w:val="center"/>
              <w:rPr>
                <w:lang w:val="ky-KG"/>
              </w:rPr>
            </w:pPr>
            <w:r w:rsidRPr="00BE5A4A">
              <w:rPr>
                <w:lang w:val="ky-KG"/>
              </w:rPr>
              <w:t>172,5</w:t>
            </w:r>
          </w:p>
        </w:tc>
        <w:tc>
          <w:tcPr>
            <w:tcW w:w="1984" w:type="dxa"/>
            <w:tcBorders>
              <w:top w:val="single" w:sz="4" w:space="0" w:color="auto"/>
              <w:left w:val="single" w:sz="4" w:space="0" w:color="auto"/>
              <w:bottom w:val="single" w:sz="4" w:space="0" w:color="auto"/>
              <w:right w:val="single" w:sz="4" w:space="0" w:color="auto"/>
            </w:tcBorders>
          </w:tcPr>
          <w:p w14:paraId="28F8B282" w14:textId="77777777" w:rsidR="00BE5A4A" w:rsidRPr="002F57B1" w:rsidRDefault="00BE5A4A" w:rsidP="007507E3">
            <w:pPr>
              <w:jc w:val="center"/>
              <w:rPr>
                <w:lang w:val="en-US"/>
              </w:rPr>
            </w:pPr>
            <w:r w:rsidRPr="00CD6A5D">
              <w:rPr>
                <w:lang w:val="ky-KG"/>
              </w:rPr>
              <w:t>133,</w:t>
            </w:r>
            <w:r w:rsidR="007507E3">
              <w:rPr>
                <w:lang w:val="ky-KG"/>
              </w:rPr>
              <w:t>5</w:t>
            </w:r>
          </w:p>
        </w:tc>
        <w:tc>
          <w:tcPr>
            <w:tcW w:w="1985" w:type="dxa"/>
            <w:tcBorders>
              <w:top w:val="single" w:sz="4" w:space="0" w:color="auto"/>
              <w:left w:val="single" w:sz="4" w:space="0" w:color="auto"/>
              <w:bottom w:val="single" w:sz="4" w:space="0" w:color="auto"/>
              <w:right w:val="single" w:sz="4" w:space="0" w:color="auto"/>
            </w:tcBorders>
          </w:tcPr>
          <w:p w14:paraId="67E4E73C" w14:textId="77777777" w:rsidR="00BE5A4A" w:rsidRPr="00CD6A5D" w:rsidRDefault="00CD6A5D" w:rsidP="00BE5A4A">
            <w:pPr>
              <w:jc w:val="center"/>
              <w:rPr>
                <w:lang w:val="ky-KG"/>
              </w:rPr>
            </w:pPr>
            <w:r w:rsidRPr="00CD6A5D">
              <w:rPr>
                <w:lang w:val="ky-KG"/>
              </w:rPr>
              <w:t>125,8</w:t>
            </w:r>
          </w:p>
        </w:tc>
      </w:tr>
      <w:tr w:rsidR="00BE5A4A" w:rsidRPr="00BE5A4A" w14:paraId="0C7C0FCB" w14:textId="77777777" w:rsidTr="00E4154D">
        <w:trPr>
          <w:trHeight w:val="227"/>
        </w:trPr>
        <w:tc>
          <w:tcPr>
            <w:tcW w:w="3856" w:type="dxa"/>
            <w:tcBorders>
              <w:top w:val="single" w:sz="4" w:space="0" w:color="auto"/>
              <w:left w:val="single" w:sz="4" w:space="0" w:color="auto"/>
              <w:bottom w:val="single" w:sz="4" w:space="0" w:color="auto"/>
              <w:right w:val="single" w:sz="4" w:space="0" w:color="auto"/>
            </w:tcBorders>
            <w:hideMark/>
          </w:tcPr>
          <w:p w14:paraId="2027D4FE" w14:textId="77777777" w:rsidR="00BE5A4A" w:rsidRPr="00BE5A4A" w:rsidRDefault="00BE5A4A" w:rsidP="00BE5A4A">
            <w:pPr>
              <w:ind w:firstLine="63"/>
              <w:jc w:val="both"/>
            </w:pPr>
            <w:r w:rsidRPr="00BE5A4A">
              <w:t>Кыргызская Республика</w:t>
            </w:r>
          </w:p>
        </w:tc>
        <w:tc>
          <w:tcPr>
            <w:tcW w:w="1896" w:type="dxa"/>
            <w:tcBorders>
              <w:top w:val="single" w:sz="4" w:space="0" w:color="auto"/>
              <w:left w:val="single" w:sz="4" w:space="0" w:color="auto"/>
              <w:bottom w:val="single" w:sz="4" w:space="0" w:color="auto"/>
              <w:right w:val="single" w:sz="4" w:space="0" w:color="auto"/>
            </w:tcBorders>
          </w:tcPr>
          <w:p w14:paraId="3322DE74" w14:textId="77777777" w:rsidR="00BE5A4A" w:rsidRPr="00BE5A4A" w:rsidRDefault="00BE5A4A" w:rsidP="00BE5A4A">
            <w:pPr>
              <w:jc w:val="center"/>
              <w:rPr>
                <w:lang w:val="ky-KG"/>
              </w:rPr>
            </w:pPr>
            <w:r w:rsidRPr="00BE5A4A">
              <w:rPr>
                <w:lang w:val="ky-KG"/>
              </w:rPr>
              <w:t>64,9</w:t>
            </w:r>
          </w:p>
        </w:tc>
        <w:tc>
          <w:tcPr>
            <w:tcW w:w="1984" w:type="dxa"/>
            <w:tcBorders>
              <w:top w:val="single" w:sz="4" w:space="0" w:color="auto"/>
              <w:left w:val="single" w:sz="4" w:space="0" w:color="auto"/>
              <w:bottom w:val="single" w:sz="4" w:space="0" w:color="auto"/>
              <w:right w:val="single" w:sz="4" w:space="0" w:color="auto"/>
            </w:tcBorders>
          </w:tcPr>
          <w:p w14:paraId="5BBCDB3C" w14:textId="77777777" w:rsidR="00BE5A4A" w:rsidRPr="00BE5A4A" w:rsidRDefault="00BE5A4A" w:rsidP="00BE5A4A">
            <w:pPr>
              <w:jc w:val="center"/>
              <w:rPr>
                <w:lang w:val="ky-KG"/>
              </w:rPr>
            </w:pPr>
            <w:r w:rsidRPr="00BE5A4A">
              <w:rPr>
                <w:lang w:val="ky-KG"/>
              </w:rPr>
              <w:t>71,3</w:t>
            </w:r>
          </w:p>
        </w:tc>
        <w:tc>
          <w:tcPr>
            <w:tcW w:w="1985" w:type="dxa"/>
            <w:tcBorders>
              <w:top w:val="single" w:sz="4" w:space="0" w:color="auto"/>
              <w:left w:val="single" w:sz="4" w:space="0" w:color="auto"/>
              <w:bottom w:val="single" w:sz="4" w:space="0" w:color="auto"/>
              <w:right w:val="single" w:sz="4" w:space="0" w:color="auto"/>
            </w:tcBorders>
          </w:tcPr>
          <w:p w14:paraId="7733777E" w14:textId="77777777" w:rsidR="00BE5A4A" w:rsidRPr="00984408" w:rsidRDefault="00BE5A4A" w:rsidP="00984408">
            <w:pPr>
              <w:jc w:val="center"/>
              <w:rPr>
                <w:lang w:val="ky-KG"/>
              </w:rPr>
            </w:pPr>
            <w:r w:rsidRPr="00984408">
              <w:rPr>
                <w:lang w:val="ky-KG"/>
              </w:rPr>
              <w:t>82,8</w:t>
            </w:r>
          </w:p>
        </w:tc>
      </w:tr>
      <w:tr w:rsidR="006F0FD9" w:rsidRPr="00BE5A4A" w14:paraId="7DCC1827" w14:textId="77777777" w:rsidTr="00E4154D">
        <w:tc>
          <w:tcPr>
            <w:tcW w:w="3856" w:type="dxa"/>
            <w:tcBorders>
              <w:top w:val="single" w:sz="4" w:space="0" w:color="auto"/>
              <w:left w:val="single" w:sz="4" w:space="0" w:color="auto"/>
              <w:bottom w:val="single" w:sz="4" w:space="0" w:color="auto"/>
              <w:right w:val="single" w:sz="4" w:space="0" w:color="auto"/>
            </w:tcBorders>
            <w:hideMark/>
          </w:tcPr>
          <w:p w14:paraId="0E768B55" w14:textId="77777777" w:rsidR="006F0FD9" w:rsidRPr="00BE5A4A" w:rsidRDefault="006F0FD9" w:rsidP="006F0FD9">
            <w:pPr>
              <w:ind w:firstLine="63"/>
              <w:jc w:val="both"/>
            </w:pPr>
            <w:r w:rsidRPr="00BE5A4A">
              <w:t>Российская Федерация</w:t>
            </w:r>
            <w:r>
              <w:t xml:space="preserve"> (Н4)</w:t>
            </w:r>
          </w:p>
        </w:tc>
        <w:tc>
          <w:tcPr>
            <w:tcW w:w="1896" w:type="dxa"/>
            <w:tcBorders>
              <w:top w:val="single" w:sz="4" w:space="0" w:color="auto"/>
              <w:left w:val="single" w:sz="4" w:space="0" w:color="auto"/>
              <w:bottom w:val="single" w:sz="4" w:space="0" w:color="auto"/>
              <w:right w:val="single" w:sz="4" w:space="0" w:color="auto"/>
            </w:tcBorders>
            <w:shd w:val="clear" w:color="auto" w:fill="FFFFFF" w:themeFill="background1"/>
          </w:tcPr>
          <w:p w14:paraId="74CBF246" w14:textId="77777777" w:rsidR="006F0FD9" w:rsidRPr="00BE5A4A" w:rsidRDefault="006F0FD9" w:rsidP="006F0FD9">
            <w:pPr>
              <w:jc w:val="center"/>
            </w:pPr>
            <w:r w:rsidRPr="00BE5A4A">
              <w:t>5</w:t>
            </w:r>
            <w:r>
              <w:t>7,9</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4F1A62B0" w14:textId="77777777" w:rsidR="006F0FD9" w:rsidRPr="000C121D" w:rsidRDefault="006F0FD9" w:rsidP="006F0FD9">
            <w:pPr>
              <w:jc w:val="center"/>
              <w:rPr>
                <w:lang w:val="ky-KG"/>
              </w:rPr>
            </w:pPr>
            <w:r>
              <w:rPr>
                <w:lang w:val="ky-KG"/>
              </w:rPr>
              <w:t>60,5</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4248CC22" w14:textId="77777777" w:rsidR="006F0FD9" w:rsidRPr="000C121D" w:rsidRDefault="006F0FD9" w:rsidP="006F0FD9">
            <w:pPr>
              <w:jc w:val="center"/>
              <w:rPr>
                <w:lang w:val="ky-KG"/>
              </w:rPr>
            </w:pPr>
            <w:r>
              <w:rPr>
                <w:lang w:val="ky-KG"/>
              </w:rPr>
              <w:t>63,4</w:t>
            </w:r>
          </w:p>
        </w:tc>
      </w:tr>
      <w:tr w:rsidR="00BE5A4A" w:rsidRPr="00DD1974" w14:paraId="646C2733" w14:textId="77777777" w:rsidTr="00E4154D">
        <w:tc>
          <w:tcPr>
            <w:tcW w:w="3856" w:type="dxa"/>
            <w:tcBorders>
              <w:top w:val="single" w:sz="4" w:space="0" w:color="auto"/>
              <w:left w:val="single" w:sz="4" w:space="0" w:color="auto"/>
              <w:bottom w:val="single" w:sz="4" w:space="0" w:color="auto"/>
              <w:right w:val="single" w:sz="4" w:space="0" w:color="auto"/>
            </w:tcBorders>
            <w:hideMark/>
          </w:tcPr>
          <w:p w14:paraId="19C78E46" w14:textId="77777777" w:rsidR="00BE5A4A" w:rsidRPr="00BE5A4A" w:rsidRDefault="00BE5A4A" w:rsidP="00BE5A4A">
            <w:pPr>
              <w:ind w:firstLine="63"/>
              <w:jc w:val="both"/>
            </w:pPr>
            <w:r w:rsidRPr="00BE5A4A">
              <w:t>Республика Таджикистан</w:t>
            </w:r>
          </w:p>
        </w:tc>
        <w:tc>
          <w:tcPr>
            <w:tcW w:w="1896" w:type="dxa"/>
            <w:tcBorders>
              <w:top w:val="single" w:sz="4" w:space="0" w:color="auto"/>
              <w:left w:val="single" w:sz="4" w:space="0" w:color="auto"/>
              <w:bottom w:val="single" w:sz="4" w:space="0" w:color="auto"/>
              <w:right w:val="single" w:sz="4" w:space="0" w:color="auto"/>
            </w:tcBorders>
          </w:tcPr>
          <w:p w14:paraId="17A9E1E2" w14:textId="77777777" w:rsidR="00BE5A4A" w:rsidRPr="00BE5A4A" w:rsidRDefault="00BE5A4A" w:rsidP="00BE5A4A">
            <w:pPr>
              <w:jc w:val="center"/>
              <w:rPr>
                <w:lang w:val="ky-KG"/>
              </w:rPr>
            </w:pPr>
            <w:r w:rsidRPr="00BE5A4A">
              <w:rPr>
                <w:lang w:val="ky-KG"/>
              </w:rPr>
              <w:t>70,5</w:t>
            </w:r>
          </w:p>
        </w:tc>
        <w:tc>
          <w:tcPr>
            <w:tcW w:w="1984" w:type="dxa"/>
            <w:tcBorders>
              <w:top w:val="single" w:sz="4" w:space="0" w:color="auto"/>
              <w:left w:val="single" w:sz="4" w:space="0" w:color="auto"/>
              <w:bottom w:val="single" w:sz="4" w:space="0" w:color="auto"/>
              <w:right w:val="single" w:sz="4" w:space="0" w:color="auto"/>
            </w:tcBorders>
          </w:tcPr>
          <w:p w14:paraId="6B4B5565" w14:textId="77777777" w:rsidR="00BE5A4A" w:rsidRPr="00BE5A4A" w:rsidRDefault="00BE5A4A" w:rsidP="00BE5A4A">
            <w:pPr>
              <w:jc w:val="center"/>
              <w:rPr>
                <w:lang w:val="ky-KG"/>
              </w:rPr>
            </w:pPr>
            <w:r w:rsidRPr="00BE5A4A">
              <w:rPr>
                <w:lang w:val="ky-KG"/>
              </w:rPr>
              <w:t>84,7</w:t>
            </w:r>
          </w:p>
        </w:tc>
        <w:tc>
          <w:tcPr>
            <w:tcW w:w="1985" w:type="dxa"/>
            <w:tcBorders>
              <w:top w:val="single" w:sz="4" w:space="0" w:color="auto"/>
              <w:left w:val="single" w:sz="4" w:space="0" w:color="auto"/>
              <w:bottom w:val="single" w:sz="4" w:space="0" w:color="auto"/>
              <w:right w:val="single" w:sz="4" w:space="0" w:color="auto"/>
            </w:tcBorders>
          </w:tcPr>
          <w:p w14:paraId="4417E9AB" w14:textId="77777777" w:rsidR="00BE5A4A" w:rsidRPr="00984408" w:rsidRDefault="00BE5A4A" w:rsidP="00984408">
            <w:pPr>
              <w:jc w:val="center"/>
              <w:rPr>
                <w:lang w:val="ky-KG"/>
              </w:rPr>
            </w:pPr>
            <w:r w:rsidRPr="00984408">
              <w:rPr>
                <w:lang w:val="ky-KG"/>
              </w:rPr>
              <w:t>94,9</w:t>
            </w:r>
          </w:p>
        </w:tc>
      </w:tr>
    </w:tbl>
    <w:p w14:paraId="2428C6D1" w14:textId="77777777" w:rsidR="00097926" w:rsidRPr="00DD1974" w:rsidRDefault="00097926" w:rsidP="005A7F34">
      <w:pPr>
        <w:pStyle w:val="a8"/>
        <w:tabs>
          <w:tab w:val="left" w:pos="2835"/>
          <w:tab w:val="left" w:pos="2977"/>
        </w:tabs>
        <w:jc w:val="left"/>
        <w:rPr>
          <w:b/>
          <w:sz w:val="24"/>
          <w:highlight w:val="yellow"/>
          <w:u w:val="single"/>
        </w:rPr>
      </w:pPr>
    </w:p>
    <w:p w14:paraId="4B5FF9FF" w14:textId="77777777" w:rsidR="003D3927" w:rsidRPr="004E3FCF" w:rsidRDefault="000F58EA" w:rsidP="00220B00">
      <w:pPr>
        <w:pStyle w:val="a8"/>
        <w:tabs>
          <w:tab w:val="left" w:pos="2835"/>
          <w:tab w:val="left" w:pos="2977"/>
        </w:tabs>
        <w:jc w:val="left"/>
        <w:rPr>
          <w:b/>
          <w:sz w:val="24"/>
          <w:u w:val="single"/>
        </w:rPr>
      </w:pPr>
      <w:r>
        <w:rPr>
          <w:b/>
          <w:sz w:val="24"/>
          <w:u w:val="single"/>
        </w:rPr>
        <w:t>Показатели ликвидности</w:t>
      </w:r>
    </w:p>
    <w:p w14:paraId="3C067CB6" w14:textId="77777777" w:rsidR="00500227" w:rsidRPr="00B07AAC" w:rsidRDefault="003D3927" w:rsidP="00220B00">
      <w:pPr>
        <w:ind w:firstLine="709"/>
        <w:jc w:val="both"/>
      </w:pPr>
      <w:r w:rsidRPr="004E3FCF">
        <w:t>В целом в 20</w:t>
      </w:r>
      <w:r w:rsidR="00985C04" w:rsidRPr="004E3FCF">
        <w:t>2</w:t>
      </w:r>
      <w:r w:rsidR="00C87E82" w:rsidRPr="00A85CBA">
        <w:t>2</w:t>
      </w:r>
      <w:r w:rsidRPr="004E3FCF">
        <w:t xml:space="preserve"> </w:t>
      </w:r>
      <w:r w:rsidR="00391676" w:rsidRPr="004E3FCF">
        <w:t>году во</w:t>
      </w:r>
      <w:r w:rsidRPr="004E3FCF">
        <w:t xml:space="preserve"> всех странах сообщества</w:t>
      </w:r>
      <w:r w:rsidR="004E3FCF" w:rsidRPr="004E3FCF">
        <w:t>, за исключением Российской Федерации</w:t>
      </w:r>
      <w:r w:rsidRPr="004E3FCF">
        <w:t xml:space="preserve"> наблюдал</w:t>
      </w:r>
      <w:r w:rsidR="00A41E5A" w:rsidRPr="004E3FCF">
        <w:t>ся</w:t>
      </w:r>
      <w:r w:rsidR="0074788B" w:rsidRPr="004E3FCF">
        <w:t xml:space="preserve"> </w:t>
      </w:r>
      <w:r w:rsidR="00A41E5A" w:rsidRPr="004E3FCF">
        <w:t>рост</w:t>
      </w:r>
      <w:r w:rsidR="0074788B" w:rsidRPr="004E3FCF">
        <w:t xml:space="preserve"> показателей ликви</w:t>
      </w:r>
      <w:r w:rsidRPr="004E3FCF">
        <w:t>дности,</w:t>
      </w:r>
      <w:r w:rsidR="0074788B" w:rsidRPr="004E3FCF">
        <w:t xml:space="preserve"> тем не менее</w:t>
      </w:r>
      <w:r w:rsidRPr="004E3FCF">
        <w:t xml:space="preserve"> и все страны выполняли нормативы </w:t>
      </w:r>
      <w:r w:rsidRPr="00B07AAC">
        <w:t>ликвидности</w:t>
      </w:r>
      <w:r w:rsidR="00220B00" w:rsidRPr="00B07AAC">
        <w:t>.</w:t>
      </w:r>
    </w:p>
    <w:p w14:paraId="5FEB1A1F" w14:textId="77777777" w:rsidR="00220B00" w:rsidRPr="00B07AAC" w:rsidRDefault="00220B00" w:rsidP="00220B00">
      <w:pPr>
        <w:ind w:firstLine="708"/>
        <w:jc w:val="both"/>
        <w:rPr>
          <w:lang w:val="ky-KG"/>
        </w:rPr>
      </w:pPr>
      <w:r w:rsidRPr="00B07AAC">
        <w:t xml:space="preserve">В </w:t>
      </w:r>
      <w:r w:rsidRPr="00B07AAC">
        <w:rPr>
          <w:b/>
          <w:i/>
        </w:rPr>
        <w:t>Республике Армения</w:t>
      </w:r>
      <w:r w:rsidRPr="00B07AAC">
        <w:t xml:space="preserve"> коэффициент ликвидности (в процентах)</w:t>
      </w:r>
      <w:r w:rsidRPr="00B07AAC">
        <w:rPr>
          <w:vertAlign w:val="superscript"/>
        </w:rPr>
        <w:footnoteReference w:id="2"/>
      </w:r>
      <w:r w:rsidRPr="00B07AAC">
        <w:t xml:space="preserve"> </w:t>
      </w:r>
      <w:r w:rsidR="00334F72" w:rsidRPr="00B07AAC">
        <w:rPr>
          <w:lang w:val="ky-KG"/>
        </w:rPr>
        <w:t>вырос</w:t>
      </w:r>
      <w:r w:rsidRPr="00B07AAC">
        <w:rPr>
          <w:lang w:val="ky-KG"/>
        </w:rPr>
        <w:t xml:space="preserve"> в сравнении с 20</w:t>
      </w:r>
      <w:r w:rsidR="00194A56" w:rsidRPr="00B07AAC">
        <w:rPr>
          <w:lang w:val="ky-KG"/>
        </w:rPr>
        <w:t>2</w:t>
      </w:r>
      <w:r w:rsidR="004E3FCF" w:rsidRPr="00B07AAC">
        <w:rPr>
          <w:lang w:val="ky-KG"/>
        </w:rPr>
        <w:t>1</w:t>
      </w:r>
      <w:r w:rsidRPr="00B07AAC">
        <w:rPr>
          <w:lang w:val="ky-KG"/>
        </w:rPr>
        <w:t xml:space="preserve"> годом и составил </w:t>
      </w:r>
      <w:r w:rsidR="00194A56" w:rsidRPr="00B07AAC">
        <w:t>3</w:t>
      </w:r>
      <w:r w:rsidR="004E3FCF" w:rsidRPr="00B07AAC">
        <w:t>6</w:t>
      </w:r>
      <w:r w:rsidR="00194A56" w:rsidRPr="00B07AAC">
        <w:t>,</w:t>
      </w:r>
      <w:r w:rsidR="004E3FCF" w:rsidRPr="00B07AAC">
        <w:t>96</w:t>
      </w:r>
      <w:r w:rsidRPr="00B07AAC">
        <w:t>%</w:t>
      </w:r>
      <w:r w:rsidRPr="00B07AAC">
        <w:rPr>
          <w:lang w:val="ky-KG"/>
        </w:rPr>
        <w:t xml:space="preserve">, коэффициент краткосрочной ликвидности </w:t>
      </w:r>
      <w:r w:rsidR="00465273" w:rsidRPr="00B07AAC">
        <w:rPr>
          <w:lang w:val="ky-KG"/>
        </w:rPr>
        <w:t>составил</w:t>
      </w:r>
      <w:r w:rsidRPr="00B07AAC">
        <w:rPr>
          <w:lang w:val="ky-KG"/>
        </w:rPr>
        <w:t xml:space="preserve"> </w:t>
      </w:r>
      <w:r w:rsidR="00B07AAC" w:rsidRPr="00B07AAC">
        <w:rPr>
          <w:color w:val="000000"/>
        </w:rPr>
        <w:t>108</w:t>
      </w:r>
      <w:r w:rsidR="00B07AAC" w:rsidRPr="00B07AAC">
        <w:rPr>
          <w:color w:val="000000"/>
          <w:lang w:val="ky-KG"/>
        </w:rPr>
        <w:t>,</w:t>
      </w:r>
      <w:r w:rsidR="00B07AAC" w:rsidRPr="00B07AAC">
        <w:rPr>
          <w:color w:val="000000"/>
        </w:rPr>
        <w:t>8</w:t>
      </w:r>
      <w:r w:rsidRPr="00B07AAC">
        <w:rPr>
          <w:lang w:val="ky-KG"/>
        </w:rPr>
        <w:t>%.</w:t>
      </w:r>
    </w:p>
    <w:p w14:paraId="59560674" w14:textId="77777777" w:rsidR="00220B00" w:rsidRPr="00B07AAC" w:rsidRDefault="00220B00" w:rsidP="00C827B1">
      <w:pPr>
        <w:ind w:firstLine="709"/>
        <w:jc w:val="both"/>
      </w:pPr>
      <w:r w:rsidRPr="00B07AAC">
        <w:rPr>
          <w:lang w:val="ky-KG"/>
        </w:rPr>
        <w:t>В</w:t>
      </w:r>
      <w:r w:rsidRPr="00B07AAC">
        <w:t xml:space="preserve"> </w:t>
      </w:r>
      <w:r w:rsidRPr="00B07AAC">
        <w:rPr>
          <w:b/>
          <w:i/>
        </w:rPr>
        <w:t>Республике Беларусь</w:t>
      </w:r>
      <w:r w:rsidRPr="00B07AAC">
        <w:t xml:space="preserve"> средняя величина покрытия ликвидности по действующим банкам на 1 января 20</w:t>
      </w:r>
      <w:r w:rsidR="00777C21" w:rsidRPr="00B07AAC">
        <w:t>2</w:t>
      </w:r>
      <w:r w:rsidR="00B07AAC" w:rsidRPr="00B07AAC">
        <w:t>3</w:t>
      </w:r>
      <w:r w:rsidRPr="00B07AAC">
        <w:t xml:space="preserve"> г. составляла </w:t>
      </w:r>
      <w:r w:rsidR="00B07AAC" w:rsidRPr="00B07AAC">
        <w:rPr>
          <w:rFonts w:eastAsia="Calibri"/>
        </w:rPr>
        <w:t xml:space="preserve">180,6 </w:t>
      </w:r>
      <w:r w:rsidRPr="00B07AAC">
        <w:t xml:space="preserve">процента при установленном нормативе не менее </w:t>
      </w:r>
      <w:r w:rsidR="00B07AAC" w:rsidRPr="00B07AAC">
        <w:t>10</w:t>
      </w:r>
      <w:r w:rsidR="0029406A" w:rsidRPr="00B07AAC">
        <w:t>0</w:t>
      </w:r>
      <w:r w:rsidRPr="00B07AAC">
        <w:t xml:space="preserve"> процентов. Средняя величина чистого стабильного фондирования по действующим банкам на 1 января 20</w:t>
      </w:r>
      <w:r w:rsidR="00777C21" w:rsidRPr="00B07AAC">
        <w:t>2</w:t>
      </w:r>
      <w:r w:rsidR="00B07AAC" w:rsidRPr="00B07AAC">
        <w:rPr>
          <w:lang w:val="ky-KG"/>
        </w:rPr>
        <w:t>3</w:t>
      </w:r>
      <w:r w:rsidRPr="00B07AAC">
        <w:t xml:space="preserve"> г. составляла </w:t>
      </w:r>
      <w:r w:rsidR="00B07AAC" w:rsidRPr="00B07AAC">
        <w:rPr>
          <w:rFonts w:eastAsia="Calibri"/>
        </w:rPr>
        <w:t xml:space="preserve">137,6 </w:t>
      </w:r>
      <w:r w:rsidRPr="00B07AAC">
        <w:t>процента при установленном нормативе не менее 100 процентов.</w:t>
      </w:r>
    </w:p>
    <w:p w14:paraId="54427F42" w14:textId="77777777" w:rsidR="00F45697" w:rsidRPr="00B07AAC" w:rsidRDefault="00F45697" w:rsidP="00C827B1">
      <w:pPr>
        <w:ind w:firstLine="709"/>
        <w:jc w:val="both"/>
      </w:pPr>
      <w:r w:rsidRPr="00B07AAC">
        <w:t xml:space="preserve">Показатель текущей ликвидности (к 4) банков второго уровня </w:t>
      </w:r>
      <w:r w:rsidRPr="00B07AAC">
        <w:rPr>
          <w:b/>
          <w:i/>
        </w:rPr>
        <w:t>Республики Казахстан</w:t>
      </w:r>
      <w:r w:rsidRPr="00B07AAC">
        <w:rPr>
          <w:i/>
        </w:rPr>
        <w:t xml:space="preserve"> </w:t>
      </w:r>
      <w:r w:rsidRPr="00B07AAC">
        <w:t>по итогам 20</w:t>
      </w:r>
      <w:r w:rsidR="00295C16" w:rsidRPr="00B07AAC">
        <w:t>2</w:t>
      </w:r>
      <w:r w:rsidR="000C4F93" w:rsidRPr="00B07AAC">
        <w:rPr>
          <w:lang w:val="ky-KG"/>
        </w:rPr>
        <w:t>1</w:t>
      </w:r>
      <w:r w:rsidRPr="00B07AAC">
        <w:t xml:space="preserve"> года составил </w:t>
      </w:r>
      <w:r w:rsidR="00B07AAC" w:rsidRPr="00B07AAC">
        <w:rPr>
          <w:lang w:val="ky-KG"/>
        </w:rPr>
        <w:t>125,8</w:t>
      </w:r>
      <w:r w:rsidRPr="00B07AAC">
        <w:t xml:space="preserve">% (при установленном значении норматива не менее </w:t>
      </w:r>
      <w:r w:rsidR="00643F79" w:rsidRPr="00B07AAC">
        <w:rPr>
          <w:lang w:val="ky-KG"/>
        </w:rPr>
        <w:t>100</w:t>
      </w:r>
      <w:r w:rsidRPr="00B07AAC">
        <w:t xml:space="preserve">%).  </w:t>
      </w:r>
    </w:p>
    <w:p w14:paraId="1618EF21" w14:textId="77777777" w:rsidR="00220B00" w:rsidRPr="00B07AAC" w:rsidRDefault="00220B00" w:rsidP="00C827B1">
      <w:pPr>
        <w:ind w:firstLine="709"/>
        <w:jc w:val="both"/>
      </w:pPr>
      <w:r w:rsidRPr="00B07AAC">
        <w:t xml:space="preserve">В </w:t>
      </w:r>
      <w:r w:rsidRPr="00B07AAC">
        <w:rPr>
          <w:b/>
          <w:i/>
        </w:rPr>
        <w:t xml:space="preserve">Кыргызской Республике </w:t>
      </w:r>
      <w:r w:rsidRPr="00B07AAC">
        <w:t>в 20</w:t>
      </w:r>
      <w:r w:rsidR="00295C16" w:rsidRPr="00B07AAC">
        <w:t>2</w:t>
      </w:r>
      <w:r w:rsidR="00B07AAC">
        <w:rPr>
          <w:lang w:val="ky-KG"/>
        </w:rPr>
        <w:t>2</w:t>
      </w:r>
      <w:r w:rsidRPr="00B07AAC">
        <w:t xml:space="preserve"> году показатель ликвидности составил </w:t>
      </w:r>
      <w:r w:rsidR="00B07AAC" w:rsidRPr="00B07AAC">
        <w:rPr>
          <w:color w:val="000000"/>
        </w:rPr>
        <w:t>82,8</w:t>
      </w:r>
      <w:r w:rsidRPr="00B07AAC">
        <w:t xml:space="preserve">% при нормативном требовании </w:t>
      </w:r>
      <w:r w:rsidR="00A41E5A" w:rsidRPr="00B07AAC">
        <w:t xml:space="preserve">не менее </w:t>
      </w:r>
      <w:r w:rsidRPr="00B07AAC">
        <w:rPr>
          <w:lang w:val="ky-KG"/>
        </w:rPr>
        <w:t>45</w:t>
      </w:r>
      <w:r w:rsidRPr="00B07AAC">
        <w:t xml:space="preserve">%. </w:t>
      </w:r>
    </w:p>
    <w:p w14:paraId="559A8AE5" w14:textId="77777777" w:rsidR="00CD3203" w:rsidRDefault="00283895" w:rsidP="00283895">
      <w:pPr>
        <w:ind w:firstLine="709"/>
        <w:jc w:val="both"/>
      </w:pPr>
      <w:r w:rsidRPr="00B07AAC">
        <w:t xml:space="preserve">В </w:t>
      </w:r>
      <w:r w:rsidRPr="00B07AAC">
        <w:rPr>
          <w:b/>
          <w:i/>
        </w:rPr>
        <w:t xml:space="preserve">Российской Федерации </w:t>
      </w:r>
      <w:r w:rsidRPr="00B07AAC">
        <w:t>за 202</w:t>
      </w:r>
      <w:r w:rsidR="00B07AAC" w:rsidRPr="00B07AAC">
        <w:rPr>
          <w:lang w:val="ky-KG"/>
        </w:rPr>
        <w:t>2</w:t>
      </w:r>
      <w:r w:rsidRPr="00B07AAC">
        <w:rPr>
          <w:lang w:val="ky-KG"/>
        </w:rPr>
        <w:t xml:space="preserve"> го</w:t>
      </w:r>
      <w:r w:rsidRPr="00B07AAC">
        <w:t xml:space="preserve">д показатель краткосрочной (текущей) ликвидности (Н3) </w:t>
      </w:r>
      <w:r w:rsidR="00B07AAC" w:rsidRPr="00B07AAC">
        <w:rPr>
          <w:lang w:val="ky-KG"/>
        </w:rPr>
        <w:t>снизился</w:t>
      </w:r>
      <w:r w:rsidRPr="00B07AAC">
        <w:rPr>
          <w:lang w:val="ky-KG"/>
        </w:rPr>
        <w:t xml:space="preserve"> </w:t>
      </w:r>
      <w:r w:rsidRPr="00B07AAC">
        <w:t xml:space="preserve">до </w:t>
      </w:r>
      <w:r w:rsidR="00B07AAC" w:rsidRPr="00B07AAC">
        <w:rPr>
          <w:lang w:val="ky-KG"/>
        </w:rPr>
        <w:t>102,8</w:t>
      </w:r>
      <w:r w:rsidRPr="00B07AAC">
        <w:t xml:space="preserve">%, коэффициент мгновенной ликвидности (Н2) – до </w:t>
      </w:r>
      <w:r w:rsidR="00B07AAC" w:rsidRPr="00B07AAC">
        <w:rPr>
          <w:lang w:val="ky-KG"/>
        </w:rPr>
        <w:t>76,2</w:t>
      </w:r>
      <w:r w:rsidRPr="00B07AAC">
        <w:t xml:space="preserve">%. </w:t>
      </w:r>
    </w:p>
    <w:p w14:paraId="24CF5F17" w14:textId="77777777" w:rsidR="00151881" w:rsidRPr="00CD3203" w:rsidRDefault="00220B00" w:rsidP="00220B00">
      <w:pPr>
        <w:ind w:firstLine="709"/>
        <w:jc w:val="both"/>
      </w:pPr>
      <w:r w:rsidRPr="00CD3203">
        <w:rPr>
          <w:rFonts w:eastAsia="Calibri"/>
          <w:lang w:val="tt-RU" w:eastAsia="en-US"/>
        </w:rPr>
        <w:t xml:space="preserve">Коэффициент текущей ликвидности кредитных финансовых организаций в </w:t>
      </w:r>
      <w:r w:rsidRPr="00CD3203">
        <w:rPr>
          <w:rFonts w:eastAsia="Calibri"/>
          <w:b/>
          <w:i/>
          <w:lang w:val="tt-RU" w:eastAsia="en-US"/>
        </w:rPr>
        <w:t>Республике Таджикистан</w:t>
      </w:r>
      <w:r w:rsidRPr="00CD3203">
        <w:rPr>
          <w:rFonts w:eastAsia="Calibri"/>
          <w:lang w:val="tt-RU" w:eastAsia="en-US"/>
        </w:rPr>
        <w:t xml:space="preserve"> на 31 декабря 20</w:t>
      </w:r>
      <w:r w:rsidR="00AA049C" w:rsidRPr="00CD3203">
        <w:rPr>
          <w:rFonts w:eastAsia="Calibri"/>
          <w:lang w:val="tt-RU" w:eastAsia="en-US"/>
        </w:rPr>
        <w:t>2</w:t>
      </w:r>
      <w:r w:rsidR="00CD3203" w:rsidRPr="00CD3203">
        <w:rPr>
          <w:rFonts w:eastAsia="Calibri"/>
          <w:lang w:val="tt-RU" w:eastAsia="en-US"/>
        </w:rPr>
        <w:t>2</w:t>
      </w:r>
      <w:r w:rsidRPr="00CD3203">
        <w:rPr>
          <w:rFonts w:eastAsia="Calibri"/>
          <w:lang w:val="tt-RU" w:eastAsia="en-US"/>
        </w:rPr>
        <w:t xml:space="preserve"> года равен </w:t>
      </w:r>
      <w:r w:rsidR="00CD3203" w:rsidRPr="00CD3203">
        <w:rPr>
          <w:rFonts w:eastAsia="Calibri"/>
          <w:lang w:val="tt-RU" w:eastAsia="en-US"/>
        </w:rPr>
        <w:t>94</w:t>
      </w:r>
      <w:r w:rsidRPr="00CD3203">
        <w:rPr>
          <w:rFonts w:eastAsia="Calibri"/>
          <w:lang w:val="tg-Cyrl-TJ" w:eastAsia="en-US"/>
        </w:rPr>
        <w:t>,</w:t>
      </w:r>
      <w:r w:rsidR="00CD3203" w:rsidRPr="00CD3203">
        <w:rPr>
          <w:rFonts w:eastAsia="Calibri"/>
          <w:lang w:val="tg-Cyrl-TJ" w:eastAsia="en-US"/>
        </w:rPr>
        <w:t>9</w:t>
      </w:r>
      <w:r w:rsidRPr="00CD3203">
        <w:rPr>
          <w:rFonts w:eastAsia="Calibri"/>
          <w:lang w:val="tt-RU" w:eastAsia="en-US"/>
        </w:rPr>
        <w:t xml:space="preserve">% и по сравнению с </w:t>
      </w:r>
      <w:r w:rsidRPr="00CD3203">
        <w:rPr>
          <w:rFonts w:eastAsia="Calibri"/>
          <w:lang w:eastAsia="en-US"/>
        </w:rPr>
        <w:t>установленными требованиями</w:t>
      </w:r>
      <w:r w:rsidRPr="00CD3203">
        <w:rPr>
          <w:rFonts w:eastAsia="Calibri"/>
          <w:lang w:val="tt-RU" w:eastAsia="en-US"/>
        </w:rPr>
        <w:t xml:space="preserve"> (30%) больше на </w:t>
      </w:r>
      <w:r w:rsidR="00CD3203" w:rsidRPr="00CD3203">
        <w:rPr>
          <w:rFonts w:eastAsia="Calibri"/>
          <w:lang w:val="tt-RU" w:eastAsia="en-US"/>
        </w:rPr>
        <w:t>6</w:t>
      </w:r>
      <w:r w:rsidR="007F399A" w:rsidRPr="00CD3203">
        <w:rPr>
          <w:rFonts w:eastAsia="Calibri"/>
          <w:lang w:val="tt-RU" w:eastAsia="en-US"/>
        </w:rPr>
        <w:t>4</w:t>
      </w:r>
      <w:r w:rsidRPr="00CD3203">
        <w:rPr>
          <w:rFonts w:eastAsia="Calibri"/>
          <w:lang w:val="tt-RU" w:eastAsia="en-US"/>
        </w:rPr>
        <w:t>,</w:t>
      </w:r>
      <w:r w:rsidR="00CD3203" w:rsidRPr="00CD3203">
        <w:rPr>
          <w:rFonts w:eastAsia="Calibri"/>
          <w:lang w:val="tt-RU" w:eastAsia="en-US"/>
        </w:rPr>
        <w:t>9</w:t>
      </w:r>
      <w:r w:rsidRPr="00CD3203">
        <w:rPr>
          <w:rFonts w:eastAsia="Calibri"/>
          <w:lang w:val="tt-RU" w:eastAsia="en-US"/>
        </w:rPr>
        <w:t xml:space="preserve"> процентных пункта.</w:t>
      </w:r>
    </w:p>
    <w:p w14:paraId="427FBE69" w14:textId="77777777" w:rsidR="00220B00" w:rsidRPr="00DD1974" w:rsidRDefault="00220B00" w:rsidP="00220B00">
      <w:pPr>
        <w:ind w:firstLine="709"/>
        <w:jc w:val="both"/>
        <w:rPr>
          <w:sz w:val="28"/>
          <w:szCs w:val="28"/>
          <w:highlight w:val="yellow"/>
        </w:rPr>
      </w:pPr>
    </w:p>
    <w:p w14:paraId="39B89FCE" w14:textId="77777777" w:rsidR="003D3927" w:rsidRPr="00BC3310" w:rsidRDefault="00EE3ECA" w:rsidP="00BC3310">
      <w:pPr>
        <w:pStyle w:val="2"/>
        <w:rPr>
          <w:rFonts w:ascii="Times New Roman" w:hAnsi="Times New Roman" w:cs="Times New Roman"/>
          <w:b/>
          <w:color w:val="auto"/>
          <w:sz w:val="24"/>
          <w:szCs w:val="24"/>
        </w:rPr>
      </w:pPr>
      <w:r w:rsidRPr="00BC3310">
        <w:rPr>
          <w:rFonts w:ascii="Times New Roman" w:hAnsi="Times New Roman" w:cs="Times New Roman"/>
          <w:b/>
          <w:color w:val="auto"/>
          <w:sz w:val="24"/>
          <w:szCs w:val="24"/>
        </w:rPr>
        <w:t>2</w:t>
      </w:r>
      <w:r w:rsidR="00D200E0" w:rsidRPr="00BC3310">
        <w:rPr>
          <w:rFonts w:ascii="Times New Roman" w:hAnsi="Times New Roman" w:cs="Times New Roman"/>
          <w:b/>
          <w:color w:val="auto"/>
          <w:sz w:val="24"/>
          <w:szCs w:val="24"/>
        </w:rPr>
        <w:t xml:space="preserve">. </w:t>
      </w:r>
      <w:r w:rsidR="003D3927" w:rsidRPr="00BC3310">
        <w:rPr>
          <w:rFonts w:ascii="Times New Roman" w:hAnsi="Times New Roman" w:cs="Times New Roman"/>
          <w:b/>
          <w:color w:val="auto"/>
          <w:sz w:val="24"/>
          <w:szCs w:val="24"/>
        </w:rPr>
        <w:t xml:space="preserve">Перспективы развития банковского сектора </w:t>
      </w:r>
      <w:r w:rsidR="006628E2" w:rsidRPr="00BC3310">
        <w:rPr>
          <w:rFonts w:ascii="Times New Roman" w:hAnsi="Times New Roman" w:cs="Times New Roman"/>
          <w:b/>
          <w:color w:val="auto"/>
          <w:sz w:val="24"/>
          <w:szCs w:val="24"/>
        </w:rPr>
        <w:t>государств центральных (национальных) банков – участников ЕСБ</w:t>
      </w:r>
    </w:p>
    <w:p w14:paraId="7AD77D9F" w14:textId="77777777" w:rsidR="00C827B1" w:rsidRPr="00CD3203" w:rsidRDefault="00C827B1" w:rsidP="006628E2">
      <w:pPr>
        <w:tabs>
          <w:tab w:val="left" w:pos="851"/>
        </w:tabs>
        <w:ind w:firstLine="709"/>
        <w:jc w:val="both"/>
        <w:rPr>
          <w:b/>
          <w:u w:val="single"/>
        </w:rPr>
      </w:pPr>
    </w:p>
    <w:p w14:paraId="37FB2A28" w14:textId="77777777" w:rsidR="00245933" w:rsidRPr="00CD3203" w:rsidRDefault="003D3927" w:rsidP="00EE2F08">
      <w:pPr>
        <w:ind w:firstLine="708"/>
        <w:jc w:val="both"/>
      </w:pPr>
      <w:r w:rsidRPr="00CD3203">
        <w:t>В 20</w:t>
      </w:r>
      <w:r w:rsidR="00465273" w:rsidRPr="00CD3203">
        <w:t>2</w:t>
      </w:r>
      <w:r w:rsidR="00BC76F4" w:rsidRPr="00CD3203">
        <w:t>2</w:t>
      </w:r>
      <w:r w:rsidRPr="00CD3203">
        <w:t xml:space="preserve"> году </w:t>
      </w:r>
      <w:r w:rsidR="000523B6" w:rsidRPr="00CD3203">
        <w:t xml:space="preserve">банки государств центральных (национальных) банков – участников ЕСБ </w:t>
      </w:r>
      <w:r w:rsidRPr="00CD3203">
        <w:t>продолжат работу по осуществлению среднесрочных задач, сто</w:t>
      </w:r>
      <w:r w:rsidR="003107E5" w:rsidRPr="00CD3203">
        <w:t>ящих перед центральными банками</w:t>
      </w:r>
      <w:r w:rsidRPr="00CD3203">
        <w:t>-участник</w:t>
      </w:r>
      <w:r w:rsidR="003107E5" w:rsidRPr="00CD3203">
        <w:t>ами</w:t>
      </w:r>
      <w:r w:rsidRPr="00CD3203">
        <w:t xml:space="preserve"> </w:t>
      </w:r>
      <w:r w:rsidR="003107E5" w:rsidRPr="00CD3203">
        <w:t>ЕСБ.</w:t>
      </w:r>
    </w:p>
    <w:p w14:paraId="398D21DD" w14:textId="77777777" w:rsidR="00EE2F08" w:rsidRPr="00DD1974" w:rsidRDefault="00EE2F08" w:rsidP="00EE2F08">
      <w:pPr>
        <w:ind w:firstLine="708"/>
        <w:jc w:val="both"/>
        <w:rPr>
          <w:b/>
          <w:highlight w:val="yellow"/>
        </w:rPr>
      </w:pPr>
    </w:p>
    <w:p w14:paraId="7658F33F" w14:textId="77777777" w:rsidR="00C827B1" w:rsidRPr="00CD3203" w:rsidRDefault="006A7085" w:rsidP="00C827B1">
      <w:pPr>
        <w:pStyle w:val="af4"/>
        <w:spacing w:after="240"/>
        <w:ind w:left="0" w:firstLine="567"/>
        <w:jc w:val="both"/>
        <w:rPr>
          <w:bCs/>
        </w:rPr>
      </w:pPr>
      <w:r w:rsidRPr="00CD3203">
        <w:rPr>
          <w:b/>
        </w:rPr>
        <w:t xml:space="preserve">Центральный банк </w:t>
      </w:r>
      <w:r w:rsidR="00894E05" w:rsidRPr="00CD3203">
        <w:rPr>
          <w:b/>
        </w:rPr>
        <w:t>Республик</w:t>
      </w:r>
      <w:r w:rsidRPr="00CD3203">
        <w:rPr>
          <w:b/>
        </w:rPr>
        <w:t>и</w:t>
      </w:r>
      <w:r w:rsidR="000F58EA">
        <w:rPr>
          <w:b/>
        </w:rPr>
        <w:t xml:space="preserve"> Армения</w:t>
      </w:r>
    </w:p>
    <w:p w14:paraId="4D78C188" w14:textId="77777777" w:rsidR="00BE518B" w:rsidRPr="00CD3203" w:rsidRDefault="00BE518B" w:rsidP="00C827B1">
      <w:pPr>
        <w:pStyle w:val="af4"/>
        <w:spacing w:after="240"/>
        <w:ind w:left="0" w:firstLine="567"/>
        <w:jc w:val="both"/>
        <w:rPr>
          <w:bCs/>
          <w:sz w:val="8"/>
          <w:szCs w:val="8"/>
        </w:rPr>
      </w:pPr>
    </w:p>
    <w:p w14:paraId="2CA54BCF" w14:textId="77777777" w:rsidR="009222A3" w:rsidRDefault="00CD3203" w:rsidP="00C827B1">
      <w:pPr>
        <w:pStyle w:val="af4"/>
        <w:ind w:left="0" w:firstLine="567"/>
        <w:jc w:val="both"/>
      </w:pPr>
      <w:r w:rsidRPr="00CD3203">
        <w:t xml:space="preserve">Согласно утверждённой </w:t>
      </w:r>
      <w:r w:rsidR="00A85CBA" w:rsidRPr="00CD3203">
        <w:t>стратегии Центрального</w:t>
      </w:r>
      <w:r w:rsidRPr="00CD3203">
        <w:t xml:space="preserve"> банка Армении основной вектор развития банковского сектора Армении будет связан с цифровой трансформацией всей системы. Первые шаги на этом пути, связанные с внедрением </w:t>
      </w:r>
      <w:r w:rsidR="00A85CBA" w:rsidRPr="00CD3203">
        <w:t>единой системы удаленной идентификации,</w:t>
      </w:r>
      <w:r w:rsidRPr="00CD3203">
        <w:t xml:space="preserve"> уже осуществляются ЦБ РА. Дальнейшее развитие системы будет тесно связано с запуском проектов нормативной песочницы и различных акселераторов, внедрению принципов открытого банкинга и открытых финансов с плавным переходом на систему открытой информации (</w:t>
      </w:r>
      <w:proofErr w:type="spellStart"/>
      <w:r w:rsidRPr="00CD3203">
        <w:t>open</w:t>
      </w:r>
      <w:proofErr w:type="spellEnd"/>
      <w:r w:rsidRPr="00CD3203">
        <w:t xml:space="preserve"> </w:t>
      </w:r>
      <w:proofErr w:type="spellStart"/>
      <w:r w:rsidRPr="00CD3203">
        <w:t>data</w:t>
      </w:r>
      <w:proofErr w:type="spellEnd"/>
      <w:r w:rsidRPr="00CD3203">
        <w:t>).</w:t>
      </w:r>
    </w:p>
    <w:p w14:paraId="5C5A1006" w14:textId="77777777" w:rsidR="00CD3203" w:rsidRPr="00DD1974" w:rsidRDefault="00CD3203" w:rsidP="00C827B1">
      <w:pPr>
        <w:pStyle w:val="af4"/>
        <w:ind w:left="0" w:firstLine="567"/>
        <w:jc w:val="both"/>
        <w:rPr>
          <w:bCs/>
          <w:highlight w:val="yellow"/>
        </w:rPr>
      </w:pPr>
    </w:p>
    <w:p w14:paraId="0625AF7E" w14:textId="77777777" w:rsidR="00C827B1" w:rsidRPr="00CD3203" w:rsidRDefault="00C827B1" w:rsidP="00F401F6">
      <w:pPr>
        <w:ind w:firstLine="709"/>
        <w:jc w:val="both"/>
        <w:rPr>
          <w:bCs/>
          <w:lang w:val="ky-KG"/>
        </w:rPr>
      </w:pPr>
      <w:r w:rsidRPr="00CD3203">
        <w:rPr>
          <w:b/>
          <w:bCs/>
        </w:rPr>
        <w:t xml:space="preserve">Национальный банк </w:t>
      </w:r>
      <w:r w:rsidR="00894E05" w:rsidRPr="00CD3203">
        <w:rPr>
          <w:b/>
          <w:bCs/>
        </w:rPr>
        <w:t>Республик</w:t>
      </w:r>
      <w:r w:rsidRPr="00CD3203">
        <w:rPr>
          <w:b/>
          <w:bCs/>
        </w:rPr>
        <w:t>и</w:t>
      </w:r>
      <w:r w:rsidR="000F58EA">
        <w:rPr>
          <w:b/>
          <w:bCs/>
        </w:rPr>
        <w:t xml:space="preserve"> Беларусь</w:t>
      </w:r>
      <w:r w:rsidR="00894E05" w:rsidRPr="00CD3203">
        <w:rPr>
          <w:bCs/>
          <w:lang w:val="ky-KG"/>
        </w:rPr>
        <w:t xml:space="preserve"> </w:t>
      </w:r>
    </w:p>
    <w:p w14:paraId="6ECA2B2B" w14:textId="77777777" w:rsidR="00C827B1" w:rsidRPr="00CD3203" w:rsidRDefault="00C827B1" w:rsidP="00F401F6">
      <w:pPr>
        <w:ind w:firstLine="709"/>
        <w:jc w:val="both"/>
        <w:rPr>
          <w:bCs/>
          <w:sz w:val="8"/>
          <w:szCs w:val="8"/>
          <w:lang w:val="ky-KG"/>
        </w:rPr>
      </w:pPr>
    </w:p>
    <w:p w14:paraId="5CE70BE0" w14:textId="77777777" w:rsidR="00CD3203" w:rsidRPr="00CD3203" w:rsidRDefault="00CD3203" w:rsidP="00CD3203">
      <w:pPr>
        <w:ind w:firstLine="709"/>
        <w:jc w:val="both"/>
        <w:rPr>
          <w:rFonts w:eastAsia="Calibri"/>
          <w:lang w:eastAsia="en-US"/>
        </w:rPr>
      </w:pPr>
      <w:r w:rsidRPr="00CD3203">
        <w:rPr>
          <w:rFonts w:eastAsia="Calibri"/>
          <w:lang w:eastAsia="en-US"/>
        </w:rPr>
        <w:t xml:space="preserve">Национальный банк продолжит работу по обеспечению устойчивого функционирования банков, небанковских кредитно-финансовых организаций, ОАО </w:t>
      </w:r>
      <w:r w:rsidR="00A85CBA">
        <w:rPr>
          <w:rFonts w:eastAsia="Calibri"/>
          <w:lang w:eastAsia="en-US"/>
        </w:rPr>
        <w:t>«</w:t>
      </w:r>
      <w:r w:rsidRPr="00CD3203">
        <w:rPr>
          <w:rFonts w:eastAsia="Calibri"/>
          <w:lang w:eastAsia="en-US"/>
        </w:rPr>
        <w:t>Банк развития Республики Беларусь</w:t>
      </w:r>
      <w:r w:rsidR="00A85CBA">
        <w:rPr>
          <w:rFonts w:eastAsia="Calibri"/>
          <w:lang w:eastAsia="en-US"/>
        </w:rPr>
        <w:t xml:space="preserve">» </w:t>
      </w:r>
      <w:r w:rsidRPr="00CD3203">
        <w:rPr>
          <w:rFonts w:eastAsia="Calibri"/>
          <w:lang w:eastAsia="en-US"/>
        </w:rPr>
        <w:t>исходя из риск-ориентированного подхода с учетом новых вызовов в экономической и финансовой сферах, а также влияния внешних факторов.</w:t>
      </w:r>
    </w:p>
    <w:p w14:paraId="26BF88F0" w14:textId="77777777" w:rsidR="00CD3203" w:rsidRPr="00CD3203" w:rsidRDefault="00CD3203" w:rsidP="00CD3203">
      <w:pPr>
        <w:ind w:firstLine="709"/>
        <w:jc w:val="both"/>
        <w:rPr>
          <w:rFonts w:eastAsia="Calibri"/>
          <w:lang w:eastAsia="en-US"/>
        </w:rPr>
      </w:pPr>
      <w:r w:rsidRPr="00CD3203">
        <w:rPr>
          <w:rFonts w:eastAsia="Calibri"/>
          <w:lang w:eastAsia="en-US"/>
        </w:rPr>
        <w:t>Совершенствование регулирования деятельности банков и небанковских кредитно-финансовых организаций будет осуществляться посредством:</w:t>
      </w:r>
    </w:p>
    <w:p w14:paraId="1CF51CA2" w14:textId="77777777" w:rsidR="00CD3203" w:rsidRPr="00CD3203" w:rsidRDefault="00CD3203" w:rsidP="00CD3203">
      <w:pPr>
        <w:ind w:firstLine="709"/>
        <w:jc w:val="both"/>
        <w:rPr>
          <w:rFonts w:eastAsia="Calibri"/>
          <w:lang w:eastAsia="en-US"/>
        </w:rPr>
      </w:pPr>
      <w:r w:rsidRPr="00CD3203">
        <w:rPr>
          <w:rFonts w:eastAsia="Calibri"/>
          <w:lang w:eastAsia="en-US"/>
        </w:rPr>
        <w:t xml:space="preserve">подготовки предложений по изменению </w:t>
      </w:r>
      <w:proofErr w:type="spellStart"/>
      <w:r w:rsidRPr="00CD3203">
        <w:rPr>
          <w:rFonts w:eastAsia="Calibri"/>
          <w:lang w:eastAsia="en-US"/>
        </w:rPr>
        <w:t>пруденциального</w:t>
      </w:r>
      <w:proofErr w:type="spellEnd"/>
      <w:r w:rsidRPr="00CD3203">
        <w:rPr>
          <w:rFonts w:eastAsia="Calibri"/>
          <w:lang w:eastAsia="en-US"/>
        </w:rPr>
        <w:t xml:space="preserve"> регулирования в целях дальнейшей имплементации принципов пропорционального </w:t>
      </w:r>
      <w:r w:rsidR="00A85CBA" w:rsidRPr="00CD3203">
        <w:rPr>
          <w:rFonts w:eastAsia="Calibri"/>
          <w:lang w:eastAsia="en-US"/>
        </w:rPr>
        <w:t>регулирования банковской</w:t>
      </w:r>
      <w:r w:rsidRPr="00CD3203">
        <w:rPr>
          <w:rFonts w:eastAsia="Calibri"/>
          <w:lang w:eastAsia="en-US"/>
        </w:rPr>
        <w:t xml:space="preserve"> деятельности;</w:t>
      </w:r>
    </w:p>
    <w:p w14:paraId="0258243C" w14:textId="77777777" w:rsidR="00CD3203" w:rsidRPr="00CD3203" w:rsidRDefault="00CD3203" w:rsidP="00CD3203">
      <w:pPr>
        <w:ind w:firstLine="709"/>
        <w:jc w:val="both"/>
        <w:rPr>
          <w:rFonts w:eastAsia="Calibri"/>
          <w:lang w:eastAsia="en-US"/>
        </w:rPr>
      </w:pPr>
      <w:r w:rsidRPr="00CD3203">
        <w:rPr>
          <w:rFonts w:eastAsia="Calibri"/>
          <w:lang w:eastAsia="en-US"/>
        </w:rPr>
        <w:t>гармонизации с Российской Федерацией норм регулирования в сфере безопасного функционирования банков и небанковских кредитно-финансовых организаций.</w:t>
      </w:r>
    </w:p>
    <w:p w14:paraId="0A72B9D0" w14:textId="77777777" w:rsidR="00F401F6" w:rsidRPr="00CD3203" w:rsidRDefault="00CD3203" w:rsidP="00CD3203">
      <w:pPr>
        <w:ind w:firstLine="709"/>
        <w:jc w:val="both"/>
        <w:rPr>
          <w:rFonts w:eastAsia="Calibri"/>
          <w:lang w:eastAsia="en-US"/>
        </w:rPr>
      </w:pPr>
      <w:r w:rsidRPr="00CD3203">
        <w:rPr>
          <w:rFonts w:eastAsia="Calibri"/>
          <w:lang w:eastAsia="en-US"/>
        </w:rPr>
        <w:t xml:space="preserve">В части совершенствования системы противодействия легализации доходов, полученных преступным путем, финансированию террористической деятельности и финансированию распространения оружия массового поражения (далее – ПОД/ФТ) будет осуществляться выработка методологических подходов к организации деятельности поставщиков платежных услуг, направленных на реализацию международных стандартов Группы разработки финансовых мер борьбы с отмыванием денег (ФАТФ), гармонизацию требований и процедур государств-членов Евразийского экономического союза, направленных на ПОД/ФТ. Продолжится внедрение риск-ориентированного подхода к контролю за деятельностью </w:t>
      </w:r>
      <w:proofErr w:type="spellStart"/>
      <w:r w:rsidRPr="00CD3203">
        <w:rPr>
          <w:rFonts w:eastAsia="Calibri"/>
          <w:lang w:eastAsia="en-US"/>
        </w:rPr>
        <w:t>некредитных</w:t>
      </w:r>
      <w:proofErr w:type="spellEnd"/>
      <w:r w:rsidRPr="00CD3203">
        <w:rPr>
          <w:rFonts w:eastAsia="Calibri"/>
          <w:lang w:eastAsia="en-US"/>
        </w:rPr>
        <w:t xml:space="preserve"> финансовых организаций в данной сфере путем применения эффективных мер реагирования к участникам финансового рынка,</w:t>
      </w:r>
      <w:r w:rsidR="00A85CBA">
        <w:rPr>
          <w:rFonts w:eastAsia="Calibri"/>
          <w:lang w:eastAsia="en-US"/>
        </w:rPr>
        <w:t xml:space="preserve"> попавшим в зону высокого риска</w:t>
      </w:r>
      <w:r w:rsidR="00F401F6" w:rsidRPr="00CD3203">
        <w:rPr>
          <w:rFonts w:eastAsia="Calibri"/>
          <w:lang w:eastAsia="en-US"/>
        </w:rPr>
        <w:t>.</w:t>
      </w:r>
    </w:p>
    <w:p w14:paraId="6E4F13E3" w14:textId="77777777" w:rsidR="00CD0F0D" w:rsidRPr="00520027" w:rsidRDefault="00D34814" w:rsidP="00A53E3F">
      <w:pPr>
        <w:ind w:firstLine="709"/>
        <w:contextualSpacing/>
        <w:rPr>
          <w:rFonts w:eastAsia="Calibri"/>
          <w:b/>
        </w:rPr>
      </w:pPr>
      <w:r w:rsidRPr="00520027">
        <w:rPr>
          <w:rFonts w:eastAsia="Calibri"/>
          <w:b/>
        </w:rPr>
        <w:t>Национал</w:t>
      </w:r>
      <w:r w:rsidR="000F58EA">
        <w:rPr>
          <w:rFonts w:eastAsia="Calibri"/>
          <w:b/>
        </w:rPr>
        <w:t>ьный Банк Республики Казахстан</w:t>
      </w:r>
    </w:p>
    <w:p w14:paraId="6ABAEC8E" w14:textId="77777777" w:rsidR="00F510B0" w:rsidRPr="00CD3203" w:rsidRDefault="00F510B0" w:rsidP="00A53E3F">
      <w:pPr>
        <w:ind w:firstLine="709"/>
        <w:jc w:val="both"/>
        <w:rPr>
          <w:b/>
          <w:bCs/>
          <w:sz w:val="8"/>
          <w:szCs w:val="8"/>
        </w:rPr>
      </w:pPr>
    </w:p>
    <w:p w14:paraId="2011F34E" w14:textId="77777777" w:rsidR="00CD3203" w:rsidRPr="00CD3203" w:rsidRDefault="00CD3203" w:rsidP="00A85CBA">
      <w:pPr>
        <w:ind w:firstLine="709"/>
        <w:contextualSpacing/>
        <w:jc w:val="both"/>
        <w:rPr>
          <w:lang w:val="ky-KG"/>
        </w:rPr>
      </w:pPr>
      <w:r w:rsidRPr="00CD3203">
        <w:rPr>
          <w:lang w:val="ky-KG"/>
        </w:rPr>
        <w:t>В целях усиления регулирования и надзора за банковской системой для обеспечения ее устойчивости и минимизации рисков с 2014 года Агентством взят курс на имплементацию стандарта Базель III по достаточности капитала и ликвидности в целях обеспечения банками адекватного качества и запаса капитала, ликвидных инструментов на случай реализации рисков, в т.ч. глобального характера.</w:t>
      </w:r>
    </w:p>
    <w:p w14:paraId="6BAFCA81" w14:textId="77777777" w:rsidR="00CD3203" w:rsidRPr="00CD3203" w:rsidRDefault="00CD3203" w:rsidP="00A85CBA">
      <w:pPr>
        <w:ind w:firstLine="709"/>
        <w:contextualSpacing/>
        <w:jc w:val="both"/>
        <w:rPr>
          <w:lang w:val="ky-KG"/>
        </w:rPr>
      </w:pPr>
      <w:r w:rsidRPr="00CD3203">
        <w:rPr>
          <w:lang w:val="ky-KG"/>
        </w:rPr>
        <w:t>Также с 2017 года банки перешли на международный стандарт финансовой отчетности МСФО 9, предусматривающий создание провизий не только по признанным, но и по ожидаемым кредитным убыткам, обеспечивая достаточный уровень резервов на случай резкого ухудшения финансового состояния заемщиков.</w:t>
      </w:r>
    </w:p>
    <w:p w14:paraId="51F8A887" w14:textId="77777777" w:rsidR="00CD3203" w:rsidRPr="00CD3203" w:rsidRDefault="00CD3203" w:rsidP="00A85CBA">
      <w:pPr>
        <w:ind w:firstLine="709"/>
        <w:contextualSpacing/>
        <w:jc w:val="both"/>
        <w:rPr>
          <w:lang w:val="ky-KG"/>
        </w:rPr>
      </w:pPr>
      <w:r w:rsidRPr="00CD3203">
        <w:rPr>
          <w:lang w:val="ky-KG"/>
        </w:rPr>
        <w:t>Основополагающим принципом эффективного регулирования также будет являться дальнейшее развитие риск- ориентированного подхода с применением надзорного суждения. В этой связи, с 2019 года для минимизации рисков в деятельности банков осуществлен переход на риск-ориентированный надзор, построенный на принципах надзорного процесса Базель II. В методологию данного подхода заложены принципы Европейского банковского органа (ЕВА) по процессу банковского надзора и оценки (Supervisory Review and Evaluation process, SREP). SREP предусматривает оценку деятельности банков по жизнеспособности их бизнес-моделей, качеству системы управления рисками, корпоративному управлению, а также по традиционным метрикам достаточности капитала, ликвидности и устойчивости фондирования. Оценка этих элементов позволяет идентифицировать негативные изменения в финансовом состоянии банков на ранних стадиях их возникновения и своевременно и адекватно применять необходимые надзорные и корректирующие меры.</w:t>
      </w:r>
    </w:p>
    <w:p w14:paraId="4B663203" w14:textId="77777777" w:rsidR="00CD3203" w:rsidRPr="00CD3203" w:rsidRDefault="00CD3203" w:rsidP="00A85CBA">
      <w:pPr>
        <w:ind w:firstLine="709"/>
        <w:contextualSpacing/>
        <w:jc w:val="both"/>
        <w:rPr>
          <w:lang w:val="ky-KG"/>
        </w:rPr>
      </w:pPr>
      <w:r w:rsidRPr="00CD3203">
        <w:rPr>
          <w:lang w:val="ky-KG"/>
        </w:rPr>
        <w:t>По результатам ежегодной оценки SREP будет разработана внутренняя методология установления надзорной надбавки к коэффициентам достаточности капитала банка (Pillar 2). Надзорная надбавка на капитал будет стимулировать банки оперативно устранять выявленные в их деятельности недостатки и риски. Основные подходы к применению надзорной надбавки на капитал, включая структуру надбавки и предельные значения, будут определены в дополнение к действующим пруденциальным стандартам.</w:t>
      </w:r>
    </w:p>
    <w:p w14:paraId="2A99774E" w14:textId="77777777" w:rsidR="00CD3203" w:rsidRPr="00CD3203" w:rsidRDefault="00CD3203" w:rsidP="00A85CBA">
      <w:pPr>
        <w:ind w:firstLine="709"/>
        <w:contextualSpacing/>
        <w:jc w:val="both"/>
        <w:rPr>
          <w:lang w:val="ky-KG"/>
        </w:rPr>
      </w:pPr>
      <w:r w:rsidRPr="00CD3203">
        <w:rPr>
          <w:lang w:val="ky-KG"/>
        </w:rPr>
        <w:t>Также с целью развития новых бизнес-моделей и инноваций Агентством планируется принять меры по стимулированию развития новых финансовых технологий и компетенций на финансовом рынке. В рамках этого направления будут приняты меры по созданию регуляторной среды для безопасного внедрения инноваций на финансовом рынке, формирования справедливой конкуренции за счет внедрения стандартов Open API и Open Banking, имплементации принципов ESG и «зеленого» финансирования, а также введения регуляторных и надзорных технологий (SupTech и RegTech).</w:t>
      </w:r>
    </w:p>
    <w:p w14:paraId="5C82B97C" w14:textId="77777777" w:rsidR="00F510B0" w:rsidRPr="00DD1974" w:rsidRDefault="00CD3203" w:rsidP="00A85CBA">
      <w:pPr>
        <w:ind w:firstLine="709"/>
        <w:contextualSpacing/>
        <w:jc w:val="both"/>
        <w:rPr>
          <w:rFonts w:eastAsia="Calibri"/>
          <w:b/>
          <w:sz w:val="18"/>
          <w:szCs w:val="18"/>
          <w:highlight w:val="yellow"/>
        </w:rPr>
      </w:pPr>
      <w:r w:rsidRPr="00CD3203">
        <w:rPr>
          <w:lang w:val="ky-KG"/>
        </w:rPr>
        <w:t>Дальнейшее развитие отечественного банковского сектора будет определяться с учетом лучшего мирового опыта и стандартов регулирования и надзора, акцентируя внимание на последних тенденциях и изменениях, происходящих как на мировом, так и национальном финансовом рынке.</w:t>
      </w:r>
    </w:p>
    <w:p w14:paraId="1E12B532" w14:textId="77777777" w:rsidR="00BE518B" w:rsidRPr="00DD1974" w:rsidRDefault="00BE518B" w:rsidP="004E374C">
      <w:pPr>
        <w:ind w:firstLine="567"/>
        <w:contextualSpacing/>
        <w:rPr>
          <w:rFonts w:eastAsia="Calibri"/>
          <w:b/>
          <w:highlight w:val="yellow"/>
        </w:rPr>
      </w:pPr>
    </w:p>
    <w:p w14:paraId="4EBE0F43" w14:textId="77777777" w:rsidR="004E374C" w:rsidRPr="00CD3203" w:rsidRDefault="004E374C" w:rsidP="00A53E3F">
      <w:pPr>
        <w:ind w:firstLine="709"/>
        <w:contextualSpacing/>
        <w:rPr>
          <w:rFonts w:eastAsia="Calibri"/>
          <w:b/>
        </w:rPr>
      </w:pPr>
      <w:r w:rsidRPr="00CD3203">
        <w:rPr>
          <w:rFonts w:eastAsia="Calibri"/>
          <w:b/>
        </w:rPr>
        <w:t>Национал</w:t>
      </w:r>
      <w:r w:rsidR="000F58EA">
        <w:rPr>
          <w:rFonts w:eastAsia="Calibri"/>
          <w:b/>
        </w:rPr>
        <w:t>ьный банк Кыргызской Республики</w:t>
      </w:r>
    </w:p>
    <w:p w14:paraId="6C5C5DD8" w14:textId="77777777" w:rsidR="00F510B0" w:rsidRPr="00DD1974" w:rsidRDefault="00F510B0" w:rsidP="00A53E3F">
      <w:pPr>
        <w:ind w:firstLine="709"/>
        <w:contextualSpacing/>
        <w:rPr>
          <w:rFonts w:eastAsia="Calibri"/>
          <w:b/>
          <w:sz w:val="8"/>
          <w:szCs w:val="8"/>
          <w:highlight w:val="yellow"/>
        </w:rPr>
      </w:pPr>
    </w:p>
    <w:p w14:paraId="2E8925E0" w14:textId="77777777" w:rsidR="004E374C" w:rsidRPr="00CD3203" w:rsidRDefault="004E374C" w:rsidP="00A53E3F">
      <w:pPr>
        <w:widowControl w:val="0"/>
        <w:ind w:firstLine="709"/>
        <w:jc w:val="both"/>
        <w:rPr>
          <w:bCs/>
        </w:rPr>
      </w:pPr>
      <w:r w:rsidRPr="00CD3203">
        <w:rPr>
          <w:bCs/>
        </w:rPr>
        <w:t>Постановлением Правления Национального банка от 2</w:t>
      </w:r>
      <w:r w:rsidRPr="00CD3203">
        <w:rPr>
          <w:bCs/>
          <w:lang w:val="ky-KG"/>
        </w:rPr>
        <w:t>9</w:t>
      </w:r>
      <w:r w:rsidRPr="00CD3203">
        <w:rPr>
          <w:bCs/>
        </w:rPr>
        <w:t>.12.20</w:t>
      </w:r>
      <w:r w:rsidRPr="00CD3203">
        <w:rPr>
          <w:bCs/>
          <w:lang w:val="ky-KG"/>
        </w:rPr>
        <w:t>21</w:t>
      </w:r>
      <w:r w:rsidRPr="00CD3203">
        <w:rPr>
          <w:bCs/>
        </w:rPr>
        <w:t xml:space="preserve"> года № 20</w:t>
      </w:r>
      <w:r w:rsidRPr="00CD3203">
        <w:rPr>
          <w:bCs/>
          <w:lang w:val="ky-KG"/>
        </w:rPr>
        <w:t>21</w:t>
      </w:r>
      <w:r w:rsidRPr="00CD3203">
        <w:rPr>
          <w:bCs/>
        </w:rPr>
        <w:t>-П-</w:t>
      </w:r>
      <w:r w:rsidRPr="00CD3203">
        <w:rPr>
          <w:bCs/>
          <w:lang w:val="ky-KG"/>
        </w:rPr>
        <w:t>35</w:t>
      </w:r>
      <w:r w:rsidRPr="00CD3203">
        <w:rPr>
          <w:bCs/>
        </w:rPr>
        <w:t>/</w:t>
      </w:r>
      <w:r w:rsidRPr="00CD3203">
        <w:rPr>
          <w:bCs/>
          <w:lang w:val="ky-KG"/>
        </w:rPr>
        <w:t>75</w:t>
      </w:r>
      <w:r w:rsidRPr="00CD3203">
        <w:rPr>
          <w:bCs/>
        </w:rPr>
        <w:t>-</w:t>
      </w:r>
      <w:r w:rsidRPr="00CD3203">
        <w:rPr>
          <w:bCs/>
          <w:lang w:val="ky-KG"/>
        </w:rPr>
        <w:t>7</w:t>
      </w:r>
      <w:r w:rsidRPr="00CD3203">
        <w:rPr>
          <w:bCs/>
        </w:rPr>
        <w:t xml:space="preserve">-(БС) одобрены Основные направления развития банковского сектора </w:t>
      </w:r>
      <w:r w:rsidRPr="00CD3203">
        <w:rPr>
          <w:bCs/>
          <w:lang w:val="ky-KG"/>
        </w:rPr>
        <w:t xml:space="preserve">Кыргызской Республики </w:t>
      </w:r>
      <w:r w:rsidRPr="00CD3203">
        <w:rPr>
          <w:bCs/>
        </w:rPr>
        <w:t>на 20</w:t>
      </w:r>
      <w:r w:rsidRPr="00CD3203">
        <w:rPr>
          <w:bCs/>
          <w:lang w:val="ky-KG"/>
        </w:rPr>
        <w:t>22</w:t>
      </w:r>
      <w:r w:rsidRPr="00CD3203">
        <w:rPr>
          <w:bCs/>
        </w:rPr>
        <w:t>-202</w:t>
      </w:r>
      <w:r w:rsidRPr="00CD3203">
        <w:rPr>
          <w:bCs/>
          <w:lang w:val="ky-KG"/>
        </w:rPr>
        <w:t>5</w:t>
      </w:r>
      <w:r w:rsidRPr="00CD3203">
        <w:rPr>
          <w:bCs/>
        </w:rPr>
        <w:t xml:space="preserve"> годы (далее –ОНРБС на 20</w:t>
      </w:r>
      <w:r w:rsidRPr="00CD3203">
        <w:rPr>
          <w:bCs/>
          <w:lang w:val="ky-KG"/>
        </w:rPr>
        <w:t>22</w:t>
      </w:r>
      <w:r w:rsidRPr="00CD3203">
        <w:rPr>
          <w:bCs/>
        </w:rPr>
        <w:t>-202</w:t>
      </w:r>
      <w:r w:rsidRPr="00CD3203">
        <w:rPr>
          <w:bCs/>
          <w:lang w:val="ky-KG"/>
        </w:rPr>
        <w:t>5</w:t>
      </w:r>
      <w:r w:rsidRPr="00CD3203">
        <w:rPr>
          <w:bCs/>
        </w:rPr>
        <w:t xml:space="preserve"> </w:t>
      </w:r>
      <w:proofErr w:type="spellStart"/>
      <w:r w:rsidRPr="00CD3203">
        <w:rPr>
          <w:bCs/>
        </w:rPr>
        <w:t>гг</w:t>
      </w:r>
      <w:proofErr w:type="spellEnd"/>
      <w:r w:rsidRPr="00CD3203">
        <w:rPr>
          <w:bCs/>
        </w:rPr>
        <w:t xml:space="preserve">). </w:t>
      </w:r>
    </w:p>
    <w:p w14:paraId="5E7EC655" w14:textId="77777777" w:rsidR="004E374C" w:rsidRPr="00CD3203" w:rsidRDefault="004E374C" w:rsidP="00A53E3F">
      <w:pPr>
        <w:autoSpaceDE w:val="0"/>
        <w:autoSpaceDN w:val="0"/>
        <w:adjustRightInd w:val="0"/>
        <w:ind w:firstLine="709"/>
        <w:jc w:val="both"/>
        <w:rPr>
          <w:bCs/>
        </w:rPr>
      </w:pPr>
      <w:r w:rsidRPr="00CD3203">
        <w:rPr>
          <w:bCs/>
        </w:rPr>
        <w:t>ОНРБС на 20</w:t>
      </w:r>
      <w:r w:rsidRPr="00CD3203">
        <w:rPr>
          <w:bCs/>
          <w:lang w:val="ky-KG"/>
        </w:rPr>
        <w:t>22</w:t>
      </w:r>
      <w:r w:rsidRPr="00CD3203">
        <w:rPr>
          <w:bCs/>
        </w:rPr>
        <w:t>-202</w:t>
      </w:r>
      <w:r w:rsidRPr="00CD3203">
        <w:rPr>
          <w:bCs/>
          <w:lang w:val="ky-KG"/>
        </w:rPr>
        <w:t>5</w:t>
      </w:r>
      <w:r w:rsidRPr="00CD3203">
        <w:rPr>
          <w:bCs/>
        </w:rPr>
        <w:t xml:space="preserve"> годы отражает цели и задачи, стоящие перед банковской системой на последующий среднесрочный период с 20</w:t>
      </w:r>
      <w:r w:rsidRPr="00CD3203">
        <w:rPr>
          <w:bCs/>
          <w:lang w:val="ky-KG"/>
        </w:rPr>
        <w:t>22</w:t>
      </w:r>
      <w:r w:rsidRPr="00CD3203">
        <w:rPr>
          <w:bCs/>
        </w:rPr>
        <w:t xml:space="preserve"> по 202</w:t>
      </w:r>
      <w:r w:rsidRPr="00CD3203">
        <w:rPr>
          <w:bCs/>
          <w:lang w:val="ky-KG"/>
        </w:rPr>
        <w:t>5</w:t>
      </w:r>
      <w:r w:rsidRPr="00CD3203">
        <w:rPr>
          <w:bCs/>
        </w:rPr>
        <w:t xml:space="preserve"> годы и направлен на усиление устойчивости банковского сектора, повышение роли банковского сектора в экономике КР, поддержание эффективности, безопасности (вопросы обеспечения кибербезопасности) и надежности банковской деятельности, создание условий для увеличения доступа к банковским услугам и их доступности, дальнейший рост уровня финансового посредничества, снижения средневзвешенных процентных ставок по кредитам, а также дальнейшее развития исламских принципов финансирования.</w:t>
      </w:r>
    </w:p>
    <w:p w14:paraId="408BA16A" w14:textId="77777777" w:rsidR="004E374C" w:rsidRPr="00CD3203" w:rsidRDefault="004E374C" w:rsidP="00A53E3F">
      <w:pPr>
        <w:autoSpaceDE w:val="0"/>
        <w:autoSpaceDN w:val="0"/>
        <w:adjustRightInd w:val="0"/>
        <w:ind w:firstLine="709"/>
        <w:jc w:val="both"/>
        <w:rPr>
          <w:bCs/>
        </w:rPr>
      </w:pPr>
      <w:r w:rsidRPr="00CD3203">
        <w:rPr>
          <w:bCs/>
        </w:rPr>
        <w:t xml:space="preserve">В среднесрочной перспективе Национальным банком, исходя из показателей предыдущего четырехлетнего периода, планируется увеличение показателей, отражающих доступность банковских услуг, рост уровня финансового посредничества банковской системы, т.е. активы банковской системы должны составить 54 процентов от ВВП, кредиты банковской системы – 28,0 процента от ВВП, депозиты банковской системы – 33,0 процента от ВВП. </w:t>
      </w:r>
    </w:p>
    <w:p w14:paraId="47BC46FC" w14:textId="77777777" w:rsidR="004E374C" w:rsidRPr="00CD3203" w:rsidRDefault="004E374C" w:rsidP="00A53E3F">
      <w:pPr>
        <w:ind w:firstLine="709"/>
        <w:jc w:val="both"/>
        <w:rPr>
          <w:bCs/>
        </w:rPr>
      </w:pPr>
      <w:r w:rsidRPr="00CD3203">
        <w:rPr>
          <w:bCs/>
        </w:rPr>
        <w:t>Содействие процессу создания исламских банков или банков с «исламскими окнами» с установлением четких правил проведения банковских операций на основе ИПФ, поспособствует увеличению доли финансирования финансово-кредитных организаций, осуществляющих свою деятельность по ИПФ до 5 процентов от общего кредитного портфеля финансового сектора. </w:t>
      </w:r>
    </w:p>
    <w:p w14:paraId="1CFC0578" w14:textId="77777777" w:rsidR="00E8364E" w:rsidRPr="00DD1974" w:rsidRDefault="00E8364E" w:rsidP="00A53E3F">
      <w:pPr>
        <w:ind w:firstLine="709"/>
        <w:rPr>
          <w:sz w:val="16"/>
          <w:szCs w:val="16"/>
          <w:highlight w:val="yellow"/>
        </w:rPr>
      </w:pPr>
    </w:p>
    <w:p w14:paraId="0B6A90DB" w14:textId="77777777" w:rsidR="00E8364E" w:rsidRPr="00C060CF" w:rsidRDefault="0093444B" w:rsidP="00A53E3F">
      <w:pPr>
        <w:ind w:firstLine="709"/>
        <w:contextualSpacing/>
        <w:rPr>
          <w:rFonts w:eastAsia="Calibri"/>
          <w:b/>
        </w:rPr>
      </w:pPr>
      <w:r w:rsidRPr="00C060CF">
        <w:rPr>
          <w:rFonts w:eastAsia="Calibri"/>
          <w:b/>
        </w:rPr>
        <w:t>Центральный банк Российской Федерации.</w:t>
      </w:r>
    </w:p>
    <w:p w14:paraId="1243E73F" w14:textId="77777777" w:rsidR="00CD3203" w:rsidRDefault="00CD3203" w:rsidP="00A53E3F">
      <w:pPr>
        <w:keepNext/>
        <w:spacing w:after="120"/>
        <w:ind w:firstLine="709"/>
        <w:rPr>
          <w:b/>
        </w:rPr>
      </w:pPr>
      <w:r w:rsidRPr="000C2F61">
        <w:rPr>
          <w:b/>
        </w:rPr>
        <w:t>В части банковского регулирования</w:t>
      </w:r>
    </w:p>
    <w:p w14:paraId="520B0C84" w14:textId="77777777" w:rsidR="00CD3203" w:rsidRPr="00255C0C" w:rsidRDefault="00CD3203" w:rsidP="00A85CBA">
      <w:pPr>
        <w:ind w:firstLine="709"/>
        <w:contextualSpacing/>
        <w:jc w:val="both"/>
        <w:rPr>
          <w:lang w:val="ky-KG"/>
        </w:rPr>
      </w:pPr>
      <w:r w:rsidRPr="00255C0C">
        <w:rPr>
          <w:lang w:val="ky-KG"/>
        </w:rPr>
        <w:t>Подробные планы в части перспектив развития банковского регулирования опубликованы в докладе Банка России Перспективные направления развития банковского регулирования и надзора</w:t>
      </w:r>
      <w:r w:rsidRPr="00A85CBA">
        <w:rPr>
          <w:vertAlign w:val="superscript"/>
          <w:lang w:val="ky-KG"/>
        </w:rPr>
        <w:footnoteReference w:id="3"/>
      </w:r>
      <w:r w:rsidRPr="00255C0C">
        <w:rPr>
          <w:lang w:val="ky-KG"/>
        </w:rPr>
        <w:t>.</w:t>
      </w:r>
    </w:p>
    <w:p w14:paraId="0CEBF960" w14:textId="77777777" w:rsidR="00CD3203" w:rsidRDefault="00CD3203" w:rsidP="00A53E3F">
      <w:pPr>
        <w:keepNext/>
        <w:spacing w:after="120"/>
        <w:ind w:firstLine="709"/>
        <w:rPr>
          <w:b/>
        </w:rPr>
      </w:pPr>
      <w:r>
        <w:rPr>
          <w:b/>
        </w:rPr>
        <w:t xml:space="preserve">В части развития цифровизации и финансовых технологий в банковской сфере </w:t>
      </w:r>
    </w:p>
    <w:p w14:paraId="53CA8E0C" w14:textId="77777777" w:rsidR="00CD3203" w:rsidRPr="00255C0C" w:rsidRDefault="00CD3203" w:rsidP="00A85CBA">
      <w:pPr>
        <w:ind w:firstLine="709"/>
        <w:contextualSpacing/>
        <w:jc w:val="both"/>
        <w:rPr>
          <w:lang w:val="ky-KG"/>
        </w:rPr>
      </w:pPr>
      <w:r w:rsidRPr="00255C0C">
        <w:rPr>
          <w:lang w:val="ky-KG"/>
        </w:rPr>
        <w:t>Содействие цифровизации финансового рынка остается одним из стратегических приоритетов Банка России. Внедрение новых технологий и поддержка инноваций на финансовом рынке способствуют повышению финансовой доступности различных видов финансовых инструментов для удовлетворения потребностей граждан и бизнеса, появлению новых бизнес-моделей, повышению производительности труда и в конечном счете вносят вклад в структурную трансформацию российской экономики.</w:t>
      </w:r>
    </w:p>
    <w:p w14:paraId="1CB848B7" w14:textId="77777777" w:rsidR="00CD3203" w:rsidRPr="00255C0C" w:rsidRDefault="00CD3203" w:rsidP="00A85CBA">
      <w:pPr>
        <w:ind w:firstLine="709"/>
        <w:contextualSpacing/>
        <w:jc w:val="both"/>
        <w:rPr>
          <w:lang w:val="ky-KG"/>
        </w:rPr>
      </w:pPr>
      <w:r w:rsidRPr="00255C0C">
        <w:rPr>
          <w:lang w:val="ky-KG"/>
        </w:rPr>
        <w:t xml:space="preserve">Банк России продолжит реализацию цифровых инфраструктурных проектов, а также создание правовых условий, способствующих внедрению инноваций на финансовом рынке. В соответствии с опубликованными в декабре 2022 года «Основными направлениями развития финансового рынка Российской Федерации на 2023 год и период 2024 и 2025 годов» запланировано проведение работ, в том числе, по следующим направлениям: </w:t>
      </w:r>
    </w:p>
    <w:p w14:paraId="64CA4C9A" w14:textId="77777777" w:rsidR="00CD3203" w:rsidRDefault="00CD3203" w:rsidP="00A85CBA">
      <w:pPr>
        <w:keepNext/>
        <w:spacing w:after="120"/>
        <w:ind w:firstLine="709"/>
        <w:jc w:val="both"/>
        <w:rPr>
          <w:b/>
        </w:rPr>
      </w:pPr>
      <w:r>
        <w:rPr>
          <w:b/>
        </w:rPr>
        <w:t>Развитие регулирования</w:t>
      </w:r>
    </w:p>
    <w:p w14:paraId="3FE98BA8" w14:textId="77777777" w:rsidR="00CD3203" w:rsidRPr="00255C0C" w:rsidRDefault="00CD3203" w:rsidP="00A85CBA">
      <w:pPr>
        <w:ind w:firstLine="709"/>
        <w:contextualSpacing/>
        <w:jc w:val="both"/>
        <w:rPr>
          <w:lang w:val="ky-KG"/>
        </w:rPr>
      </w:pPr>
      <w:r w:rsidRPr="00255C0C">
        <w:rPr>
          <w:lang w:val="ky-KG"/>
        </w:rPr>
        <w:t xml:space="preserve">Обеспечение регулирования, направленного на расширение перечня сведений в инфраструктуре Цифрового профиля (ЦП), их актуализацию и расширение видов и количества финансовых организаций, использующих ЦП гражданина. </w:t>
      </w:r>
    </w:p>
    <w:p w14:paraId="7D9F9274" w14:textId="77777777" w:rsidR="00CD3203" w:rsidRPr="00255C0C" w:rsidRDefault="00CD3203" w:rsidP="00A85CBA">
      <w:pPr>
        <w:ind w:firstLine="709"/>
        <w:contextualSpacing/>
        <w:jc w:val="both"/>
        <w:rPr>
          <w:lang w:val="ky-KG"/>
        </w:rPr>
      </w:pPr>
      <w:r w:rsidRPr="00255C0C">
        <w:rPr>
          <w:lang w:val="ky-KG"/>
        </w:rPr>
        <w:t>Создание правовых основ для развития Цифрового профиля юридического лица</w:t>
      </w:r>
      <w:r w:rsidRPr="00A85CBA">
        <w:rPr>
          <w:vertAlign w:val="superscript"/>
          <w:lang w:val="ky-KG"/>
        </w:rPr>
        <w:footnoteReference w:id="4"/>
      </w:r>
      <w:r w:rsidRPr="00255C0C">
        <w:rPr>
          <w:lang w:val="ky-KG"/>
        </w:rPr>
        <w:t xml:space="preserve"> и предоставления большего количества данных о юридических лицах с целью оказания им дистанционных финансовых услуг.</w:t>
      </w:r>
    </w:p>
    <w:p w14:paraId="6DC277F4" w14:textId="77777777" w:rsidR="00CD3203" w:rsidRPr="00255C0C" w:rsidRDefault="00CD3203" w:rsidP="00A85CBA">
      <w:pPr>
        <w:ind w:firstLine="709"/>
        <w:contextualSpacing/>
        <w:jc w:val="both"/>
        <w:rPr>
          <w:lang w:val="ky-KG"/>
        </w:rPr>
      </w:pPr>
      <w:r w:rsidRPr="00255C0C">
        <w:rPr>
          <w:lang w:val="ky-KG"/>
        </w:rPr>
        <w:t>Расширение доступа Банка России к государственным информационным системам.</w:t>
      </w:r>
    </w:p>
    <w:p w14:paraId="5880C9BE" w14:textId="77777777" w:rsidR="00CD3203" w:rsidRPr="00255C0C" w:rsidRDefault="00CD3203" w:rsidP="00A85CBA">
      <w:pPr>
        <w:ind w:firstLine="709"/>
        <w:contextualSpacing/>
        <w:jc w:val="both"/>
        <w:rPr>
          <w:lang w:val="ky-KG"/>
        </w:rPr>
      </w:pPr>
      <w:r w:rsidRPr="00255C0C">
        <w:rPr>
          <w:lang w:val="ky-KG"/>
        </w:rPr>
        <w:t xml:space="preserve">Разработка предложений по нормативному регулированию Открытых API при реализации модели «Открытые финансы», а также предложений по внесению изменений в законодательство, предусматривающих закрепление необходимых полномочий Банка России для внедрения Открытых API. </w:t>
      </w:r>
    </w:p>
    <w:p w14:paraId="5FC872D6" w14:textId="77777777" w:rsidR="00CD3203" w:rsidRPr="00255C0C" w:rsidRDefault="00CD3203" w:rsidP="00A85CBA">
      <w:pPr>
        <w:ind w:firstLine="709"/>
        <w:contextualSpacing/>
        <w:jc w:val="both"/>
        <w:rPr>
          <w:lang w:val="ky-KG"/>
        </w:rPr>
      </w:pPr>
      <w:r w:rsidRPr="00255C0C">
        <w:rPr>
          <w:lang w:val="ky-KG"/>
        </w:rPr>
        <w:t>Развитие регулирования для внедрения экспериментальных правовых режимов на финансовом рынке. В указанных целях планируется внесение изменений в ряд федеральных законов для создания необходимых правовых условий для пилотирования инновационных решений.</w:t>
      </w:r>
    </w:p>
    <w:p w14:paraId="27EA5C67" w14:textId="77777777" w:rsidR="00CD3203" w:rsidRPr="00255C0C" w:rsidRDefault="00CD3203" w:rsidP="00A85CBA">
      <w:pPr>
        <w:ind w:firstLine="709"/>
        <w:contextualSpacing/>
        <w:jc w:val="both"/>
        <w:rPr>
          <w:lang w:val="ky-KG"/>
        </w:rPr>
      </w:pPr>
      <w:r w:rsidRPr="00255C0C">
        <w:rPr>
          <w:lang w:val="ky-KG"/>
        </w:rPr>
        <w:t>Принятие закона, создающего правовые условия для электронного хранения документов.</w:t>
      </w:r>
    </w:p>
    <w:p w14:paraId="64E79B08" w14:textId="77777777" w:rsidR="00CD3203" w:rsidRPr="00255C0C" w:rsidRDefault="00CD3203" w:rsidP="00A85CBA">
      <w:pPr>
        <w:ind w:firstLine="709"/>
        <w:contextualSpacing/>
        <w:jc w:val="both"/>
        <w:rPr>
          <w:lang w:val="ky-KG"/>
        </w:rPr>
      </w:pPr>
      <w:r w:rsidRPr="00255C0C">
        <w:rPr>
          <w:lang w:val="ky-KG"/>
        </w:rPr>
        <w:t>Формирование комплексного регулирования оборота данных на финансовом рынке, в том числе по установлению на уровне федеральных законов особенностей обработки финансовыми организациями персональных данных, а также участие Банка России в создании правовых условий оборота обезличенных персональных данных и обезличенных кредитных историй.</w:t>
      </w:r>
    </w:p>
    <w:p w14:paraId="243363EA" w14:textId="77777777" w:rsidR="00CD3203" w:rsidRPr="00255C0C" w:rsidRDefault="00CD3203" w:rsidP="00A85CBA">
      <w:pPr>
        <w:ind w:firstLine="709"/>
        <w:contextualSpacing/>
        <w:jc w:val="both"/>
        <w:rPr>
          <w:lang w:val="ky-KG"/>
        </w:rPr>
      </w:pPr>
      <w:r w:rsidRPr="00255C0C">
        <w:rPr>
          <w:lang w:val="ky-KG"/>
        </w:rPr>
        <w:t>Принятие ряда федеральных законов, направленных на совершенствование регулирования цифровых прав и дальнейшее развитие данного сегмента финансового рынка.</w:t>
      </w:r>
    </w:p>
    <w:p w14:paraId="628CD1F6" w14:textId="77777777" w:rsidR="00CD3203" w:rsidRDefault="00CD3203" w:rsidP="00A53E3F">
      <w:pPr>
        <w:keepNext/>
        <w:spacing w:after="120"/>
        <w:ind w:firstLine="709"/>
        <w:rPr>
          <w:b/>
        </w:rPr>
      </w:pPr>
      <w:r>
        <w:rPr>
          <w:b/>
        </w:rPr>
        <w:t>Реализация инфраструктурных проектов</w:t>
      </w:r>
    </w:p>
    <w:p w14:paraId="4F5FAEEC" w14:textId="77777777" w:rsidR="00CD3203" w:rsidRPr="00255C0C" w:rsidRDefault="00CD3203" w:rsidP="00A85CBA">
      <w:pPr>
        <w:ind w:firstLine="709"/>
        <w:contextualSpacing/>
        <w:jc w:val="both"/>
        <w:rPr>
          <w:lang w:val="ky-KG"/>
        </w:rPr>
      </w:pPr>
      <w:r w:rsidRPr="00255C0C">
        <w:rPr>
          <w:lang w:val="ky-KG"/>
        </w:rPr>
        <w:t>Развитие механизма дистанционной идентификации с использованием ЕБС. Для повышения удобства использования системы будет осуществляться совершенствование механизмов регистрации биометрических данных. Планируется обеспечить возможность самостоятельной регистрации биометрических данных с помощью защищенного мобильного приложения. Помимо этого, будет проработана возможность использования механизма видеоидентификации. В целях широкого использования ЕБС планируется обеспечить создание и развитие финансовых и нефинансовых сервисов, предоставляемых с использованием ЕБС. Будет проработан вопрос о распространении биометрического способа проведения идентификации на физических лиц – нерезидентов без посещения ими Российской Федерации.</w:t>
      </w:r>
    </w:p>
    <w:p w14:paraId="24C6646F" w14:textId="77777777" w:rsidR="00CD3203" w:rsidRPr="00255C0C" w:rsidRDefault="00CD3203" w:rsidP="00A85CBA">
      <w:pPr>
        <w:ind w:firstLine="709"/>
        <w:contextualSpacing/>
        <w:jc w:val="both"/>
        <w:rPr>
          <w:lang w:val="ky-KG"/>
        </w:rPr>
      </w:pPr>
      <w:r w:rsidRPr="00255C0C">
        <w:rPr>
          <w:lang w:val="ky-KG"/>
        </w:rPr>
        <w:t xml:space="preserve">Развитие инфраструктуры Цифрового профиля. Планируется расширить перечень и количество участников, использующих Цифровой профиль. Планируется также развитие Цифрового профиля юридического лица. </w:t>
      </w:r>
    </w:p>
    <w:p w14:paraId="6A07C1DA" w14:textId="77777777" w:rsidR="00CD3203" w:rsidRPr="00255C0C" w:rsidRDefault="00CD3203" w:rsidP="00A85CBA">
      <w:pPr>
        <w:ind w:firstLine="709"/>
        <w:contextualSpacing/>
        <w:jc w:val="both"/>
        <w:rPr>
          <w:lang w:val="ky-KG"/>
        </w:rPr>
      </w:pPr>
      <w:r w:rsidRPr="00255C0C">
        <w:rPr>
          <w:lang w:val="ky-KG"/>
        </w:rPr>
        <w:t>Будут разработаны единые правила обмена данными через Открытые API, а также требования по соблюдению информационной безопасности. Планируется поэтапное внедрение стандартов Открытых API в отношении крупнейших компаний в отдельных секторах финансового рынка. Предполагается проработка с участниками рынка перехода к модели Открытых данных.</w:t>
      </w:r>
    </w:p>
    <w:p w14:paraId="46A4A5A1" w14:textId="77777777" w:rsidR="00CD3203" w:rsidRPr="00255C0C" w:rsidRDefault="00CD3203" w:rsidP="00A85CBA">
      <w:pPr>
        <w:ind w:firstLine="709"/>
        <w:contextualSpacing/>
        <w:jc w:val="both"/>
        <w:rPr>
          <w:lang w:val="ky-KG"/>
        </w:rPr>
      </w:pPr>
      <w:r w:rsidRPr="00255C0C">
        <w:rPr>
          <w:lang w:val="ky-KG"/>
        </w:rPr>
        <w:t>Совместно с участниками рынка будет продолжено развитие сервисов на платформе «Мастерчейн».</w:t>
      </w:r>
    </w:p>
    <w:p w14:paraId="3572FEBC" w14:textId="77777777" w:rsidR="00CD3203" w:rsidRPr="00255C0C" w:rsidRDefault="00CD3203" w:rsidP="00A85CBA">
      <w:pPr>
        <w:ind w:firstLine="709"/>
        <w:contextualSpacing/>
        <w:jc w:val="both"/>
        <w:rPr>
          <w:lang w:val="ky-KG"/>
        </w:rPr>
      </w:pPr>
      <w:r w:rsidRPr="00255C0C">
        <w:rPr>
          <w:lang w:val="ky-KG"/>
        </w:rPr>
        <w:t xml:space="preserve">Изучение, разработка и внедрение SupTech- и RegTech-решений в нескольких направлениях, включая анализ и управление рисками, совершенствование процедур допуска на финансовый рынок, выявление неправомерных действий на финансовом рынке, автоматизацию отдельных элементов надзора за участниками финансового рынка и др. </w:t>
      </w:r>
    </w:p>
    <w:p w14:paraId="17A345B2" w14:textId="77777777" w:rsidR="00CD3203" w:rsidRPr="00255C0C" w:rsidRDefault="00CD3203" w:rsidP="00A85CBA">
      <w:pPr>
        <w:ind w:firstLine="709"/>
        <w:contextualSpacing/>
        <w:jc w:val="both"/>
        <w:rPr>
          <w:lang w:val="ky-KG"/>
        </w:rPr>
      </w:pPr>
      <w:r w:rsidRPr="00255C0C">
        <w:rPr>
          <w:lang w:val="ky-KG"/>
        </w:rPr>
        <w:t>Развитие экспериментальных правовых режимов, которые позволят обеспечить пилотирование инновационных решений на финансовом рынке с участием реальных клиентов.</w:t>
      </w:r>
    </w:p>
    <w:p w14:paraId="6DB57782" w14:textId="77777777" w:rsidR="00CD3203" w:rsidRPr="00255C0C" w:rsidRDefault="00CD3203" w:rsidP="00A85CBA">
      <w:pPr>
        <w:ind w:firstLine="709"/>
        <w:contextualSpacing/>
        <w:jc w:val="both"/>
        <w:rPr>
          <w:lang w:val="ky-KG"/>
        </w:rPr>
      </w:pPr>
      <w:r w:rsidRPr="00255C0C">
        <w:rPr>
          <w:lang w:val="ky-KG"/>
        </w:rPr>
        <w:t>Планируется проработка возможности создания Платформы коммерческих согласий в целях безопасного обмена данными с использованием Открытых API исключительно с согласия клиентов Банк России.</w:t>
      </w:r>
    </w:p>
    <w:p w14:paraId="65B698C1" w14:textId="77777777" w:rsidR="00CD3203" w:rsidRPr="00255C0C" w:rsidRDefault="00CD3203" w:rsidP="00A85CBA">
      <w:pPr>
        <w:ind w:firstLine="709"/>
        <w:contextualSpacing/>
        <w:jc w:val="both"/>
        <w:rPr>
          <w:lang w:val="ky-KG"/>
        </w:rPr>
      </w:pPr>
      <w:r w:rsidRPr="00255C0C">
        <w:rPr>
          <w:lang w:val="ky-KG"/>
        </w:rPr>
        <w:t>Расширение количества ТСП (в т.ч. в сегменте МСП), подключенных к сервису С2В в СБП, а также разработка программы лояльности и развитие международных переводов в СБП.</w:t>
      </w:r>
    </w:p>
    <w:p w14:paraId="290F1EEC" w14:textId="77777777" w:rsidR="00CD3203" w:rsidRPr="00255C0C" w:rsidRDefault="00CD3203" w:rsidP="00A85CBA">
      <w:pPr>
        <w:ind w:firstLine="709"/>
        <w:contextualSpacing/>
        <w:jc w:val="both"/>
        <w:rPr>
          <w:lang w:val="ky-KG"/>
        </w:rPr>
      </w:pPr>
      <w:r w:rsidRPr="00255C0C">
        <w:rPr>
          <w:lang w:val="ky-KG"/>
        </w:rPr>
        <w:t>Реализация Стратегии развития НСПК на 2023–2024 годы</w:t>
      </w:r>
      <w:r w:rsidRPr="00A85CBA">
        <w:rPr>
          <w:vertAlign w:val="superscript"/>
          <w:lang w:val="ky-KG"/>
        </w:rPr>
        <w:footnoteReference w:id="5"/>
      </w:r>
      <w:r w:rsidRPr="00255C0C">
        <w:rPr>
          <w:lang w:val="ky-KG"/>
        </w:rPr>
        <w:t>, развитие финансовых и нефинансовых сервисов на базе карт ПС «Мир», а также продвижение программы лояльности ПС «Мир» и платежного приложения Mir Pay.</w:t>
      </w:r>
    </w:p>
    <w:p w14:paraId="44221269" w14:textId="77777777" w:rsidR="00CD3203" w:rsidRPr="00255C0C" w:rsidRDefault="00CD3203" w:rsidP="00A85CBA">
      <w:pPr>
        <w:ind w:firstLine="709"/>
        <w:contextualSpacing/>
        <w:jc w:val="both"/>
        <w:rPr>
          <w:lang w:val="ky-KG"/>
        </w:rPr>
      </w:pPr>
      <w:r w:rsidRPr="00255C0C">
        <w:rPr>
          <w:lang w:val="ky-KG"/>
        </w:rPr>
        <w:t>Расширение состава пользователей СПФС за счет привлечения новых пользователей – нерезидентов, взаимодействие с иностранными регуляторами и интеграция с аналогичными системами дружественных стран, а также перевод внутрироссийского трафика обмена финансовыми сообщениями на российские системы (в том числе СПФС)</w:t>
      </w:r>
      <w:r w:rsidRPr="00A85CBA">
        <w:rPr>
          <w:vertAlign w:val="superscript"/>
          <w:lang w:val="ky-KG"/>
        </w:rPr>
        <w:footnoteReference w:id="6"/>
      </w:r>
      <w:r w:rsidRPr="00255C0C">
        <w:rPr>
          <w:lang w:val="ky-KG"/>
        </w:rPr>
        <w:t>.</w:t>
      </w:r>
    </w:p>
    <w:p w14:paraId="6A291557" w14:textId="77777777" w:rsidR="00CD3203" w:rsidRPr="00255C0C" w:rsidRDefault="00CD3203" w:rsidP="00A85CBA">
      <w:pPr>
        <w:ind w:firstLine="709"/>
        <w:contextualSpacing/>
        <w:jc w:val="both"/>
        <w:rPr>
          <w:lang w:val="ky-KG"/>
        </w:rPr>
      </w:pPr>
      <w:r w:rsidRPr="00255C0C">
        <w:rPr>
          <w:lang w:val="ky-KG"/>
        </w:rPr>
        <w:t>Обеспечение правового регулирования функционирования платформе цифрового рубля и запуск пилота с реальными цифровыми рублями на ограниченном количестве юридических и физических лиц: функционал переводов между физическими лицами, платежи за товары и услуги с использованием статического QR-кода, самоисполняемые сделки.</w:t>
      </w:r>
    </w:p>
    <w:p w14:paraId="4524AA95" w14:textId="77777777" w:rsidR="00A85CBA" w:rsidRDefault="00A85CBA" w:rsidP="00A53E3F">
      <w:pPr>
        <w:ind w:firstLine="709"/>
        <w:contextualSpacing/>
        <w:rPr>
          <w:rFonts w:eastAsia="Calibri"/>
          <w:b/>
        </w:rPr>
      </w:pPr>
    </w:p>
    <w:p w14:paraId="2AB0F943" w14:textId="77777777" w:rsidR="00A951FE" w:rsidRPr="00520027" w:rsidRDefault="00C35ADF" w:rsidP="00A53E3F">
      <w:pPr>
        <w:ind w:firstLine="709"/>
        <w:contextualSpacing/>
        <w:rPr>
          <w:rFonts w:eastAsia="Calibri"/>
          <w:b/>
        </w:rPr>
      </w:pPr>
      <w:r w:rsidRPr="00520027">
        <w:rPr>
          <w:rFonts w:eastAsia="Calibri"/>
          <w:b/>
        </w:rPr>
        <w:t xml:space="preserve">Национальный банк </w:t>
      </w:r>
      <w:r w:rsidR="00A951FE" w:rsidRPr="00520027">
        <w:rPr>
          <w:rFonts w:eastAsia="Calibri"/>
          <w:b/>
        </w:rPr>
        <w:t>Таджикистан</w:t>
      </w:r>
      <w:r w:rsidRPr="00520027">
        <w:rPr>
          <w:rFonts w:eastAsia="Calibri"/>
          <w:b/>
        </w:rPr>
        <w:t>а</w:t>
      </w:r>
      <w:r w:rsidR="00A951FE" w:rsidRPr="00520027">
        <w:rPr>
          <w:rFonts w:eastAsia="Calibri"/>
          <w:b/>
        </w:rPr>
        <w:t>.</w:t>
      </w:r>
    </w:p>
    <w:p w14:paraId="62573EBA" w14:textId="77777777" w:rsidR="00017654" w:rsidRPr="00520027" w:rsidRDefault="00017654" w:rsidP="00A85CBA">
      <w:pPr>
        <w:ind w:firstLine="709"/>
        <w:contextualSpacing/>
        <w:jc w:val="both"/>
        <w:rPr>
          <w:lang w:val="ky-KG"/>
        </w:rPr>
      </w:pPr>
      <w:r w:rsidRPr="00520027">
        <w:rPr>
          <w:lang w:val="ky-KG"/>
        </w:rPr>
        <w:t>Национальный банк Таджикистана  придерживается реформаторской позиции и постепенно совершенствует нормативную правовую базу для обеспечения дальнейшего роста банковского сектора. В настоящее время ведется работа над рядом инициатив в этом направлении, в том числе:</w:t>
      </w:r>
    </w:p>
    <w:p w14:paraId="480E5909" w14:textId="77777777" w:rsidR="00017654" w:rsidRPr="00520027" w:rsidRDefault="00017654" w:rsidP="00A85CBA">
      <w:pPr>
        <w:ind w:firstLine="709"/>
        <w:contextualSpacing/>
        <w:jc w:val="both"/>
        <w:rPr>
          <w:lang w:val="ky-KG"/>
        </w:rPr>
      </w:pPr>
      <w:r w:rsidRPr="00520027">
        <w:rPr>
          <w:lang w:val="ky-KG"/>
        </w:rPr>
        <w:t>-</w:t>
      </w:r>
      <w:r w:rsidRPr="00520027">
        <w:rPr>
          <w:lang w:val="ky-KG"/>
        </w:rPr>
        <w:tab/>
        <w:t>готовятся проекты изменений и дополнений в Законы Республики Таджикистан «О микрофинансовои деятельности» и «Об исламской банковской деятельности»;</w:t>
      </w:r>
    </w:p>
    <w:p w14:paraId="697A8496" w14:textId="77777777" w:rsidR="00017654" w:rsidRPr="00520027" w:rsidRDefault="00017654" w:rsidP="00A85CBA">
      <w:pPr>
        <w:ind w:firstLine="709"/>
        <w:contextualSpacing/>
        <w:jc w:val="both"/>
        <w:rPr>
          <w:lang w:val="ky-KG"/>
        </w:rPr>
      </w:pPr>
      <w:r w:rsidRPr="00520027">
        <w:rPr>
          <w:lang w:val="ky-KG"/>
        </w:rPr>
        <w:t>-</w:t>
      </w:r>
      <w:r w:rsidRPr="00520027">
        <w:rPr>
          <w:lang w:val="ky-KG"/>
        </w:rPr>
        <w:tab/>
        <w:t>начат процесс поэтапного внедрения требований всех компонентов Базеля II и исходя из соображений целесообразности, с учетом готовности банковской системы, соответствующих элементов Базеля III;</w:t>
      </w:r>
    </w:p>
    <w:p w14:paraId="1C3D51ED" w14:textId="77777777" w:rsidR="00017654" w:rsidRPr="00520027" w:rsidRDefault="00017654" w:rsidP="00A85CBA">
      <w:pPr>
        <w:ind w:firstLine="709"/>
        <w:contextualSpacing/>
        <w:jc w:val="both"/>
        <w:rPr>
          <w:lang w:val="ky-KG"/>
        </w:rPr>
      </w:pPr>
      <w:r w:rsidRPr="00520027">
        <w:rPr>
          <w:lang w:val="ky-KG"/>
        </w:rPr>
        <w:t>-</w:t>
      </w:r>
      <w:r w:rsidRPr="00520027">
        <w:rPr>
          <w:lang w:val="ky-KG"/>
        </w:rPr>
        <w:tab/>
        <w:t>в процессе разработки находится документ для проведения стресс-</w:t>
      </w:r>
    </w:p>
    <w:p w14:paraId="777CA5FE" w14:textId="77777777" w:rsidR="00017654" w:rsidRPr="00520027" w:rsidRDefault="00017654" w:rsidP="00A85CBA">
      <w:pPr>
        <w:ind w:firstLine="709"/>
        <w:contextualSpacing/>
        <w:jc w:val="both"/>
        <w:rPr>
          <w:lang w:val="ky-KG"/>
        </w:rPr>
      </w:pPr>
      <w:r w:rsidRPr="00520027">
        <w:rPr>
          <w:lang w:val="ky-KG"/>
        </w:rPr>
        <w:t>тестирования со стороны регулятора (top-down) и Инструкция «О требованиях по проведению стресс-тестирования в кредитных финансовых организациях» (bottom-up);</w:t>
      </w:r>
    </w:p>
    <w:p w14:paraId="03F90A9F" w14:textId="77777777" w:rsidR="00017654" w:rsidRPr="00520027" w:rsidRDefault="00017654" w:rsidP="00A85CBA">
      <w:pPr>
        <w:ind w:firstLine="709"/>
        <w:contextualSpacing/>
        <w:jc w:val="both"/>
        <w:rPr>
          <w:lang w:val="ky-KG"/>
        </w:rPr>
      </w:pPr>
      <w:r w:rsidRPr="00520027">
        <w:rPr>
          <w:lang w:val="ky-KG"/>
        </w:rPr>
        <w:t>-</w:t>
      </w:r>
      <w:r w:rsidRPr="00520027">
        <w:rPr>
          <w:lang w:val="ky-KG"/>
        </w:rPr>
        <w:tab/>
        <w:t>разрабатываются несколько новых подзаконных нормативных документов по урегулированию несостоятельности банков и управлению кризисными ситуациями (нормативные документы по планированию восстановления, процессу принятия решений в сценариях санации, реализации (осуществления) инструментов санации, планам надзорных действий на случай непредвиденных обстоятельств с капиталом, ликвидностью и качеством активов);</w:t>
      </w:r>
    </w:p>
    <w:p w14:paraId="0419274B" w14:textId="77777777" w:rsidR="00017654" w:rsidRPr="00520027" w:rsidRDefault="00017654" w:rsidP="00A85CBA">
      <w:pPr>
        <w:ind w:firstLine="709"/>
        <w:contextualSpacing/>
        <w:jc w:val="both"/>
        <w:rPr>
          <w:lang w:val="ky-KG"/>
        </w:rPr>
      </w:pPr>
      <w:r w:rsidRPr="00520027">
        <w:rPr>
          <w:lang w:val="ky-KG"/>
        </w:rPr>
        <w:t>-</w:t>
      </w:r>
      <w:r w:rsidRPr="00520027">
        <w:rPr>
          <w:lang w:val="ky-KG"/>
        </w:rPr>
        <w:tab/>
        <w:t>укрепляется нормативная правовая база в целях регулирования и надзора за исламскими кредитными организациями, в том числе разрабатывается проект “Руководства по реализации исламских банковских операций”, устанавливающий основные принципы корпоративного управления в исламских банках и исламских микрокредитных депозитных организациях;</w:t>
      </w:r>
    </w:p>
    <w:p w14:paraId="54051E32" w14:textId="77777777" w:rsidR="00017654" w:rsidRPr="00520027" w:rsidRDefault="00017654" w:rsidP="00A85CBA">
      <w:pPr>
        <w:ind w:firstLine="709"/>
        <w:contextualSpacing/>
        <w:jc w:val="both"/>
        <w:rPr>
          <w:lang w:val="ky-KG"/>
        </w:rPr>
      </w:pPr>
      <w:r w:rsidRPr="00520027">
        <w:rPr>
          <w:lang w:val="ky-KG"/>
        </w:rPr>
        <w:t>-</w:t>
      </w:r>
      <w:r w:rsidRPr="00520027">
        <w:rPr>
          <w:lang w:val="ky-KG"/>
        </w:rPr>
        <w:tab/>
        <w:t>разрабатывается Инструкция «Об управлении и реструктуризации необслуживаемых кредитов», вклюиающая три схемы восстановления и урегулирования необслуживаемых кредитов, а именно:</w:t>
      </w:r>
    </w:p>
    <w:p w14:paraId="6364359C" w14:textId="77777777" w:rsidR="00017654" w:rsidRPr="00520027" w:rsidRDefault="00017654" w:rsidP="00A85CBA">
      <w:pPr>
        <w:ind w:firstLine="709"/>
        <w:contextualSpacing/>
        <w:jc w:val="both"/>
        <w:rPr>
          <w:lang w:val="ky-KG"/>
        </w:rPr>
      </w:pPr>
      <w:r w:rsidRPr="00520027">
        <w:rPr>
          <w:lang w:val="ky-KG"/>
        </w:rPr>
        <w:t>-</w:t>
      </w:r>
      <w:r w:rsidRPr="00520027">
        <w:rPr>
          <w:lang w:val="ky-KG"/>
        </w:rPr>
        <w:tab/>
        <w:t>покупка и продажа необслуживаемых кредитов между финансовыми учреждениями;</w:t>
      </w:r>
    </w:p>
    <w:p w14:paraId="16698C86" w14:textId="77777777" w:rsidR="00017654" w:rsidRPr="00520027" w:rsidRDefault="00017654" w:rsidP="00A85CBA">
      <w:pPr>
        <w:ind w:firstLine="709"/>
        <w:contextualSpacing/>
        <w:jc w:val="both"/>
        <w:rPr>
          <w:lang w:val="ky-KG"/>
        </w:rPr>
      </w:pPr>
      <w:r w:rsidRPr="00520027">
        <w:rPr>
          <w:lang w:val="ky-KG"/>
        </w:rPr>
        <w:t>-</w:t>
      </w:r>
      <w:r w:rsidRPr="00520027">
        <w:rPr>
          <w:lang w:val="ky-KG"/>
        </w:rPr>
        <w:tab/>
        <w:t>реструктуризация</w:t>
      </w:r>
      <w:r w:rsidRPr="00520027">
        <w:rPr>
          <w:lang w:val="ky-KG"/>
        </w:rPr>
        <w:tab/>
        <w:t>необслуживаемых</w:t>
      </w:r>
      <w:r w:rsidRPr="00520027">
        <w:rPr>
          <w:lang w:val="ky-KG"/>
        </w:rPr>
        <w:tab/>
        <w:t>кредитов,</w:t>
      </w:r>
    </w:p>
    <w:p w14:paraId="6A40A4E7" w14:textId="77777777" w:rsidR="00017654" w:rsidRPr="00520027" w:rsidRDefault="00017654" w:rsidP="00A85CBA">
      <w:pPr>
        <w:ind w:firstLine="709"/>
        <w:contextualSpacing/>
        <w:jc w:val="both"/>
        <w:rPr>
          <w:lang w:val="ky-KG"/>
        </w:rPr>
      </w:pPr>
      <w:r w:rsidRPr="00520027">
        <w:rPr>
          <w:lang w:val="ky-KG"/>
        </w:rPr>
        <w:t>деноминированных в иностранной валюте;</w:t>
      </w:r>
    </w:p>
    <w:p w14:paraId="4D0322E9" w14:textId="77777777" w:rsidR="00017654" w:rsidRPr="00520027" w:rsidRDefault="00017654" w:rsidP="00A85CBA">
      <w:pPr>
        <w:ind w:firstLine="709"/>
        <w:contextualSpacing/>
        <w:jc w:val="both"/>
        <w:rPr>
          <w:lang w:val="ky-KG"/>
        </w:rPr>
      </w:pPr>
      <w:r w:rsidRPr="00520027">
        <w:rPr>
          <w:lang w:val="ky-KG"/>
        </w:rPr>
        <w:t>-</w:t>
      </w:r>
      <w:r w:rsidRPr="00520027">
        <w:rPr>
          <w:lang w:val="ky-KG"/>
        </w:rPr>
        <w:tab/>
        <w:t>компромиссные соглашения с должниками;</w:t>
      </w:r>
    </w:p>
    <w:p w14:paraId="0C5F1B31" w14:textId="77777777" w:rsidR="00017654" w:rsidRPr="00520027" w:rsidRDefault="00017654" w:rsidP="00A85CBA">
      <w:pPr>
        <w:ind w:firstLine="709"/>
        <w:contextualSpacing/>
        <w:jc w:val="both"/>
        <w:rPr>
          <w:lang w:val="ky-KG"/>
        </w:rPr>
      </w:pPr>
      <w:r w:rsidRPr="00520027">
        <w:rPr>
          <w:lang w:val="ky-KG"/>
        </w:rPr>
        <w:t>-</w:t>
      </w:r>
      <w:r w:rsidRPr="00520027">
        <w:rPr>
          <w:lang w:val="ky-KG"/>
        </w:rPr>
        <w:tab/>
        <w:t xml:space="preserve">начата работа по разработке Инструкции «По управлению риском ликвидности в кредитных организациях».  </w:t>
      </w:r>
    </w:p>
    <w:p w14:paraId="37A2D269" w14:textId="77777777" w:rsidR="00017654" w:rsidRPr="00520027" w:rsidRDefault="00017654" w:rsidP="00A85CBA">
      <w:pPr>
        <w:ind w:firstLine="709"/>
        <w:contextualSpacing/>
        <w:jc w:val="both"/>
        <w:rPr>
          <w:lang w:val="ky-KG"/>
        </w:rPr>
      </w:pPr>
      <w:r w:rsidRPr="00520027">
        <w:rPr>
          <w:lang w:val="ky-KG"/>
        </w:rPr>
        <w:t>Также, отмечаем, что в 2022 году на основании норм и принципов, установленных законодательством, международными стандартами, анализом состояния финансовой доступпости и перспектив ее дальнейшего развития, была принята Национальная стратегия финансовой инклюзивности Республики Таджикистан на 2022 — 2026 годы (далее — НФИС), включающая четыре ключевых направления - это каналы доставки и цифровые финансовые услуги, разнообразие финансовых продуктов, защита прав потребителей финансовых услуг и финансовая грамотность. Реализация данной стратегии поможет Таджикистану сделать еще один шаг к инновационной фазе развития.</w:t>
      </w:r>
    </w:p>
    <w:p w14:paraId="7C6ED50A" w14:textId="77777777" w:rsidR="00A951FE" w:rsidRPr="00260E06" w:rsidRDefault="00A951FE" w:rsidP="00A85CBA">
      <w:pPr>
        <w:spacing w:after="120"/>
        <w:ind w:firstLine="567"/>
        <w:jc w:val="both"/>
        <w:rPr>
          <w:rFonts w:eastAsia="Arial"/>
          <w:i/>
          <w:color w:val="000000"/>
          <w:lang w:bidi="ru-RU"/>
        </w:rPr>
      </w:pPr>
    </w:p>
    <w:sectPr w:rsidR="00A951FE" w:rsidRPr="00260E06" w:rsidSect="00AF3755">
      <w:headerReference w:type="even" r:id="rId8"/>
      <w:headerReference w:type="default" r:id="rId9"/>
      <w:footerReference w:type="even" r:id="rId10"/>
      <w:footerReference w:type="default" r:id="rId11"/>
      <w:pgSz w:w="11906" w:h="16838"/>
      <w:pgMar w:top="993" w:right="849" w:bottom="993" w:left="1276" w:header="568" w:footer="414" w:gutter="0"/>
      <w:paperSrc w:first="263" w:other="263"/>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743909" w14:textId="77777777" w:rsidR="004C6EF5" w:rsidRDefault="004C6EF5" w:rsidP="00573934">
      <w:r>
        <w:separator/>
      </w:r>
    </w:p>
  </w:endnote>
  <w:endnote w:type="continuationSeparator" w:id="0">
    <w:p w14:paraId="3F7D1C32" w14:textId="77777777" w:rsidR="004C6EF5" w:rsidRDefault="004C6EF5" w:rsidP="005739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Yu Gothic"/>
    <w:panose1 w:val="02020609040205080304"/>
    <w:charset w:val="80"/>
    <w:family w:val="roman"/>
    <w:notTrueType/>
    <w:pitch w:val="fixed"/>
    <w:sig w:usb0="00000000" w:usb1="08070000" w:usb2="00000010" w:usb3="00000000" w:csb0="00020000" w:csb1="00000000"/>
  </w:font>
  <w:font w:name="Tahoma">
    <w:altName w:val="Times New Roman"/>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0C3CE" w14:textId="77777777" w:rsidR="00F86D54" w:rsidRDefault="007A5CDB" w:rsidP="00F86D54">
    <w:pPr>
      <w:pStyle w:val="a3"/>
      <w:framePr w:wrap="around" w:vAnchor="text" w:hAnchor="margin" w:xAlign="center" w:y="1"/>
      <w:rPr>
        <w:rStyle w:val="a5"/>
      </w:rPr>
    </w:pPr>
    <w:r>
      <w:rPr>
        <w:rStyle w:val="a5"/>
      </w:rPr>
      <w:fldChar w:fldCharType="begin"/>
    </w:r>
    <w:r w:rsidR="003D3927">
      <w:rPr>
        <w:rStyle w:val="a5"/>
      </w:rPr>
      <w:instrText xml:space="preserve">PAGE  </w:instrText>
    </w:r>
    <w:r>
      <w:rPr>
        <w:rStyle w:val="a5"/>
      </w:rPr>
      <w:fldChar w:fldCharType="end"/>
    </w:r>
  </w:p>
  <w:p w14:paraId="60F48436" w14:textId="77777777" w:rsidR="00F86D54" w:rsidRDefault="00F86D54">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E9CB70" w14:textId="77777777" w:rsidR="00F86D54" w:rsidRDefault="007A5CDB">
    <w:pPr>
      <w:pStyle w:val="a3"/>
      <w:jc w:val="center"/>
    </w:pPr>
    <w:r>
      <w:fldChar w:fldCharType="begin"/>
    </w:r>
    <w:r w:rsidR="003D3927">
      <w:instrText xml:space="preserve"> PAGE   \* MERGEFORMAT </w:instrText>
    </w:r>
    <w:r>
      <w:fldChar w:fldCharType="separate"/>
    </w:r>
    <w:r w:rsidR="005664B4">
      <w:rPr>
        <w:noProof/>
      </w:rPr>
      <w:t>8</w:t>
    </w:r>
    <w:r>
      <w:fldChar w:fldCharType="end"/>
    </w:r>
  </w:p>
  <w:p w14:paraId="5A2E42F4" w14:textId="77777777" w:rsidR="00F86D54" w:rsidRPr="00093531" w:rsidRDefault="00F86D54">
    <w:pPr>
      <w:pStyle w:val="a3"/>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EFEB1A" w14:textId="77777777" w:rsidR="004C6EF5" w:rsidRDefault="004C6EF5" w:rsidP="00573934">
      <w:r>
        <w:separator/>
      </w:r>
    </w:p>
  </w:footnote>
  <w:footnote w:type="continuationSeparator" w:id="0">
    <w:p w14:paraId="6E82BDEA" w14:textId="77777777" w:rsidR="004C6EF5" w:rsidRDefault="004C6EF5" w:rsidP="00573934">
      <w:r>
        <w:continuationSeparator/>
      </w:r>
    </w:p>
  </w:footnote>
  <w:footnote w:id="1">
    <w:p w14:paraId="49EBC882" w14:textId="77777777" w:rsidR="00C8141D" w:rsidRPr="00D84DC7" w:rsidRDefault="00C8141D" w:rsidP="006770AA">
      <w:pPr>
        <w:pStyle w:val="af0"/>
        <w:rPr>
          <w:lang w:val="ru-RU"/>
        </w:rPr>
      </w:pPr>
      <w:r>
        <w:rPr>
          <w:rStyle w:val="af2"/>
        </w:rPr>
        <w:footnoteRef/>
      </w:r>
      <w:r w:rsidRPr="00D84DC7">
        <w:rPr>
          <w:lang w:val="ru-RU"/>
        </w:rPr>
        <w:t xml:space="preserve"> </w:t>
      </w:r>
      <w:r w:rsidRPr="00BB0307">
        <w:rPr>
          <w:rFonts w:ascii="Times New Roman" w:hAnsi="Times New Roman" w:cs="Times New Roman"/>
          <w:lang w:val="ru-RU"/>
        </w:rPr>
        <w:t>Количество действующих кредитных организаций</w:t>
      </w:r>
    </w:p>
  </w:footnote>
  <w:footnote w:id="2">
    <w:p w14:paraId="7578005C" w14:textId="77777777" w:rsidR="00220B00" w:rsidRPr="008C1C81" w:rsidRDefault="00220B00" w:rsidP="00220B00">
      <w:pPr>
        <w:pStyle w:val="af0"/>
        <w:rPr>
          <w:rFonts w:ascii="Times New Roman" w:hAnsi="Times New Roman" w:cs="Times New Roman"/>
          <w:lang w:val="ru-RU"/>
        </w:rPr>
      </w:pPr>
      <w:r w:rsidRPr="00206251">
        <w:rPr>
          <w:rStyle w:val="af2"/>
          <w:rFonts w:ascii="Times New Roman" w:hAnsi="Times New Roman" w:cs="Times New Roman"/>
        </w:rPr>
        <w:footnoteRef/>
      </w:r>
      <w:r w:rsidRPr="00206251">
        <w:rPr>
          <w:rFonts w:ascii="Times New Roman" w:hAnsi="Times New Roman" w:cs="Times New Roman"/>
          <w:lang w:val="ru-RU"/>
        </w:rPr>
        <w:t xml:space="preserve"> О</w:t>
      </w:r>
      <w:r w:rsidRPr="008C1C81">
        <w:rPr>
          <w:rFonts w:ascii="Times New Roman" w:hAnsi="Times New Roman" w:cs="Times New Roman"/>
          <w:lang w:val="ru-RU"/>
        </w:rPr>
        <w:t>тношение ликвидных активов к совокупным активам</w:t>
      </w:r>
    </w:p>
  </w:footnote>
  <w:footnote w:id="3">
    <w:p w14:paraId="17B2C129" w14:textId="77777777" w:rsidR="00CD3203" w:rsidRPr="00A85CBA" w:rsidRDefault="00CD3203" w:rsidP="00CD3203">
      <w:pPr>
        <w:pStyle w:val="af0"/>
        <w:rPr>
          <w:rFonts w:ascii="Times New Roman" w:hAnsi="Times New Roman" w:cs="Times New Roman"/>
          <w:lang w:val="ru-RU"/>
        </w:rPr>
      </w:pPr>
      <w:r w:rsidRPr="00CF30C3">
        <w:rPr>
          <w:rStyle w:val="af2"/>
          <w:rFonts w:ascii="Times New Roman" w:hAnsi="Times New Roman" w:cs="Times New Roman"/>
        </w:rPr>
        <w:footnoteRef/>
      </w:r>
      <w:r w:rsidRPr="00A85CBA">
        <w:rPr>
          <w:rFonts w:ascii="Times New Roman" w:hAnsi="Times New Roman" w:cs="Times New Roman"/>
          <w:lang w:val="ru-RU"/>
        </w:rPr>
        <w:t xml:space="preserve"> </w:t>
      </w:r>
      <w:r w:rsidRPr="00CF30C3">
        <w:rPr>
          <w:rFonts w:ascii="Times New Roman" w:hAnsi="Times New Roman" w:cs="Times New Roman"/>
        </w:rPr>
        <w:t>http</w:t>
      </w:r>
      <w:r w:rsidRPr="00A85CBA">
        <w:rPr>
          <w:rFonts w:ascii="Times New Roman" w:hAnsi="Times New Roman" w:cs="Times New Roman"/>
          <w:lang w:val="ru-RU"/>
        </w:rPr>
        <w:t>://</w:t>
      </w:r>
      <w:r w:rsidRPr="00CF30C3">
        <w:rPr>
          <w:rFonts w:ascii="Times New Roman" w:hAnsi="Times New Roman" w:cs="Times New Roman"/>
        </w:rPr>
        <w:t>www</w:t>
      </w:r>
      <w:r w:rsidRPr="00A85CBA">
        <w:rPr>
          <w:rFonts w:ascii="Times New Roman" w:hAnsi="Times New Roman" w:cs="Times New Roman"/>
          <w:lang w:val="ru-RU"/>
        </w:rPr>
        <w:t>.</w:t>
      </w:r>
      <w:proofErr w:type="spellStart"/>
      <w:r w:rsidRPr="00CF30C3">
        <w:rPr>
          <w:rFonts w:ascii="Times New Roman" w:hAnsi="Times New Roman" w:cs="Times New Roman"/>
        </w:rPr>
        <w:t>cbr</w:t>
      </w:r>
      <w:proofErr w:type="spellEnd"/>
      <w:r w:rsidRPr="00A85CBA">
        <w:rPr>
          <w:rFonts w:ascii="Times New Roman" w:hAnsi="Times New Roman" w:cs="Times New Roman"/>
          <w:lang w:val="ru-RU"/>
        </w:rPr>
        <w:t>.</w:t>
      </w:r>
      <w:proofErr w:type="spellStart"/>
      <w:r w:rsidRPr="00CF30C3">
        <w:rPr>
          <w:rFonts w:ascii="Times New Roman" w:hAnsi="Times New Roman" w:cs="Times New Roman"/>
        </w:rPr>
        <w:t>ru</w:t>
      </w:r>
      <w:proofErr w:type="spellEnd"/>
      <w:r w:rsidRPr="00A85CBA">
        <w:rPr>
          <w:rFonts w:ascii="Times New Roman" w:hAnsi="Times New Roman" w:cs="Times New Roman"/>
          <w:lang w:val="ru-RU"/>
        </w:rPr>
        <w:t>/</w:t>
      </w:r>
      <w:r w:rsidRPr="00CF30C3">
        <w:rPr>
          <w:rFonts w:ascii="Times New Roman" w:hAnsi="Times New Roman" w:cs="Times New Roman"/>
        </w:rPr>
        <w:t>Content</w:t>
      </w:r>
      <w:r w:rsidRPr="00A85CBA">
        <w:rPr>
          <w:rFonts w:ascii="Times New Roman" w:hAnsi="Times New Roman" w:cs="Times New Roman"/>
          <w:lang w:val="ru-RU"/>
        </w:rPr>
        <w:t>/</w:t>
      </w:r>
      <w:r w:rsidRPr="00CF30C3">
        <w:rPr>
          <w:rFonts w:ascii="Times New Roman" w:hAnsi="Times New Roman" w:cs="Times New Roman"/>
        </w:rPr>
        <w:t>Document</w:t>
      </w:r>
      <w:r w:rsidRPr="00A85CBA">
        <w:rPr>
          <w:rFonts w:ascii="Times New Roman" w:hAnsi="Times New Roman" w:cs="Times New Roman"/>
          <w:lang w:val="ru-RU"/>
        </w:rPr>
        <w:t>/</w:t>
      </w:r>
      <w:r w:rsidRPr="00CF30C3">
        <w:rPr>
          <w:rFonts w:ascii="Times New Roman" w:hAnsi="Times New Roman" w:cs="Times New Roman"/>
        </w:rPr>
        <w:t>File</w:t>
      </w:r>
      <w:r w:rsidRPr="00A85CBA">
        <w:rPr>
          <w:rFonts w:ascii="Times New Roman" w:hAnsi="Times New Roman" w:cs="Times New Roman"/>
          <w:lang w:val="ru-RU"/>
        </w:rPr>
        <w:t>/143838/</w:t>
      </w:r>
      <w:proofErr w:type="spellStart"/>
      <w:r w:rsidRPr="00CF30C3">
        <w:rPr>
          <w:rFonts w:ascii="Times New Roman" w:hAnsi="Times New Roman" w:cs="Times New Roman"/>
        </w:rPr>
        <w:t>dbra</w:t>
      </w:r>
      <w:proofErr w:type="spellEnd"/>
      <w:r w:rsidRPr="00A85CBA">
        <w:rPr>
          <w:rFonts w:ascii="Times New Roman" w:hAnsi="Times New Roman" w:cs="Times New Roman"/>
          <w:lang w:val="ru-RU"/>
        </w:rPr>
        <w:t>_20221227.</w:t>
      </w:r>
      <w:r w:rsidRPr="00CF30C3">
        <w:rPr>
          <w:rFonts w:ascii="Times New Roman" w:hAnsi="Times New Roman" w:cs="Times New Roman"/>
        </w:rPr>
        <w:t>pdf</w:t>
      </w:r>
    </w:p>
  </w:footnote>
  <w:footnote w:id="4">
    <w:p w14:paraId="3FA8FF90" w14:textId="77777777" w:rsidR="00CD3203" w:rsidRDefault="00CD3203" w:rsidP="00CD3203">
      <w:pPr>
        <w:pStyle w:val="ac"/>
      </w:pPr>
      <w:r w:rsidRPr="00CF30C3">
        <w:rPr>
          <w:rStyle w:val="af2"/>
        </w:rPr>
        <w:footnoteRef/>
      </w:r>
      <w:r w:rsidRPr="00CF30C3">
        <w:t xml:space="preserve"> Создан в марте 2023 года.</w:t>
      </w:r>
    </w:p>
  </w:footnote>
  <w:footnote w:id="5">
    <w:p w14:paraId="5160FD98" w14:textId="77777777" w:rsidR="00CD3203" w:rsidRDefault="00CD3203" w:rsidP="00CD3203">
      <w:pPr>
        <w:spacing w:line="192" w:lineRule="auto"/>
        <w:rPr>
          <w:sz w:val="20"/>
          <w:szCs w:val="20"/>
        </w:rPr>
      </w:pPr>
      <w:r>
        <w:rPr>
          <w:rStyle w:val="af2"/>
          <w:sz w:val="20"/>
          <w:szCs w:val="20"/>
        </w:rPr>
        <w:footnoteRef/>
      </w:r>
      <w:r>
        <w:rPr>
          <w:sz w:val="20"/>
          <w:szCs w:val="20"/>
        </w:rPr>
        <w:t> Стратегия развития НСПК на 2023 – 2024 годы одобрена Национальным финансовым советом 27.03.2023 и рекомендована к направлению на утверждение в Наблюдательный совет АО «НСПК».</w:t>
      </w:r>
    </w:p>
  </w:footnote>
  <w:footnote w:id="6">
    <w:p w14:paraId="10ED9899" w14:textId="77777777" w:rsidR="00CD3203" w:rsidRDefault="00CD3203" w:rsidP="00CD3203">
      <w:pPr>
        <w:spacing w:line="192" w:lineRule="auto"/>
        <w:rPr>
          <w:sz w:val="20"/>
          <w:szCs w:val="20"/>
        </w:rPr>
      </w:pPr>
      <w:r>
        <w:rPr>
          <w:rStyle w:val="af2"/>
          <w:sz w:val="20"/>
          <w:szCs w:val="20"/>
        </w:rPr>
        <w:footnoteRef/>
      </w:r>
      <w:r>
        <w:rPr>
          <w:sz w:val="20"/>
          <w:szCs w:val="20"/>
        </w:rPr>
        <w:t xml:space="preserve"> Совет директоров Банка России 17.03.2023 принял решение, что с 01.10.2023 для передачи финансовой информации при переводах средств на территории России банки будут обязаны использовать только российские сервисы и отечественную финансовую инфраструктуру.</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98CAF" w14:textId="77777777" w:rsidR="00F86D54" w:rsidRDefault="007A5CDB" w:rsidP="00F86D54">
    <w:pPr>
      <w:pStyle w:val="a6"/>
      <w:framePr w:wrap="around" w:vAnchor="text" w:hAnchor="margin" w:xAlign="center" w:y="1"/>
      <w:rPr>
        <w:rStyle w:val="a5"/>
      </w:rPr>
    </w:pPr>
    <w:r>
      <w:rPr>
        <w:rStyle w:val="a5"/>
      </w:rPr>
      <w:fldChar w:fldCharType="begin"/>
    </w:r>
    <w:r w:rsidR="003D3927">
      <w:rPr>
        <w:rStyle w:val="a5"/>
      </w:rPr>
      <w:instrText xml:space="preserve">PAGE  </w:instrText>
    </w:r>
    <w:r>
      <w:rPr>
        <w:rStyle w:val="a5"/>
      </w:rPr>
      <w:fldChar w:fldCharType="end"/>
    </w:r>
  </w:p>
  <w:p w14:paraId="3376DD35" w14:textId="77777777" w:rsidR="00F86D54" w:rsidRDefault="00F86D54">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745AC" w14:textId="77777777" w:rsidR="00F86D54" w:rsidRDefault="00F86D54" w:rsidP="00F86D54">
    <w:pPr>
      <w:pStyle w:val="a6"/>
      <w:framePr w:wrap="around" w:vAnchor="text" w:hAnchor="margin" w:xAlign="center" w:y="1"/>
      <w:rPr>
        <w:rStyle w:val="a5"/>
      </w:rPr>
    </w:pPr>
  </w:p>
  <w:p w14:paraId="6D78978C" w14:textId="77777777" w:rsidR="00F86D54" w:rsidRDefault="00F86D54" w:rsidP="00F86D54">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8A0B09"/>
    <w:multiLevelType w:val="hybridMultilevel"/>
    <w:tmpl w:val="F56E123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15:restartNumberingAfterBreak="0">
    <w:nsid w:val="454A5A51"/>
    <w:multiLevelType w:val="hybridMultilevel"/>
    <w:tmpl w:val="20AE2290"/>
    <w:lvl w:ilvl="0" w:tplc="84F41ED0">
      <w:start w:val="1"/>
      <w:numFmt w:val="decimal"/>
      <w:lvlText w:val="%1."/>
      <w:lvlJc w:val="left"/>
      <w:pPr>
        <w:ind w:left="1429" w:hanging="360"/>
      </w:pPr>
      <w:rPr>
        <w:rFonts w:ascii="Times New Roman" w:hAnsi="Times New Roman" w:cs="Times New Roman" w:hint="default"/>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558B7B4C"/>
    <w:multiLevelType w:val="hybridMultilevel"/>
    <w:tmpl w:val="F9F2765E"/>
    <w:lvl w:ilvl="0" w:tplc="42CCDBF6">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 w15:restartNumberingAfterBreak="0">
    <w:nsid w:val="5772738A"/>
    <w:multiLevelType w:val="hybridMultilevel"/>
    <w:tmpl w:val="F81AB606"/>
    <w:lvl w:ilvl="0" w:tplc="913C1EFC">
      <w:start w:val="1"/>
      <w:numFmt w:val="bullet"/>
      <w:lvlText w:val=""/>
      <w:lvlJc w:val="left"/>
      <w:pPr>
        <w:ind w:left="360" w:hanging="360"/>
      </w:pPr>
      <w:rPr>
        <w:rFonts w:ascii="Symbol" w:hAnsi="Symbol" w:hint="default"/>
        <w:color w:val="000000" w:themeColor="text1"/>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4" w15:restartNumberingAfterBreak="0">
    <w:nsid w:val="5BCE2D8D"/>
    <w:multiLevelType w:val="hybridMultilevel"/>
    <w:tmpl w:val="7E98F5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2DB4"/>
    <w:rsid w:val="00001FBA"/>
    <w:rsid w:val="0001562A"/>
    <w:rsid w:val="000160A8"/>
    <w:rsid w:val="000166FD"/>
    <w:rsid w:val="00017654"/>
    <w:rsid w:val="0003049A"/>
    <w:rsid w:val="00033B84"/>
    <w:rsid w:val="00034DED"/>
    <w:rsid w:val="000470DF"/>
    <w:rsid w:val="000523B6"/>
    <w:rsid w:val="00053409"/>
    <w:rsid w:val="00066D52"/>
    <w:rsid w:val="00067889"/>
    <w:rsid w:val="00073E35"/>
    <w:rsid w:val="0009690F"/>
    <w:rsid w:val="00097926"/>
    <w:rsid w:val="000A24F0"/>
    <w:rsid w:val="000B36F4"/>
    <w:rsid w:val="000B7BC4"/>
    <w:rsid w:val="000C2F7F"/>
    <w:rsid w:val="000C4F93"/>
    <w:rsid w:val="000D1344"/>
    <w:rsid w:val="000D2251"/>
    <w:rsid w:val="000D5C48"/>
    <w:rsid w:val="000E4493"/>
    <w:rsid w:val="000F14D2"/>
    <w:rsid w:val="000F58EA"/>
    <w:rsid w:val="000F5ADB"/>
    <w:rsid w:val="000F78A8"/>
    <w:rsid w:val="00105699"/>
    <w:rsid w:val="0013400F"/>
    <w:rsid w:val="00136C68"/>
    <w:rsid w:val="00141EEE"/>
    <w:rsid w:val="00146FAB"/>
    <w:rsid w:val="0014714C"/>
    <w:rsid w:val="00151881"/>
    <w:rsid w:val="001528F4"/>
    <w:rsid w:val="001549D3"/>
    <w:rsid w:val="001611FF"/>
    <w:rsid w:val="001628D0"/>
    <w:rsid w:val="001654C7"/>
    <w:rsid w:val="00166922"/>
    <w:rsid w:val="00173014"/>
    <w:rsid w:val="00174F51"/>
    <w:rsid w:val="00192C13"/>
    <w:rsid w:val="00194A56"/>
    <w:rsid w:val="00195DAA"/>
    <w:rsid w:val="001A061B"/>
    <w:rsid w:val="001A424E"/>
    <w:rsid w:val="001B0A23"/>
    <w:rsid w:val="001C303A"/>
    <w:rsid w:val="001D62FF"/>
    <w:rsid w:val="001E0736"/>
    <w:rsid w:val="001F2D89"/>
    <w:rsid w:val="00201F88"/>
    <w:rsid w:val="0020300B"/>
    <w:rsid w:val="00206251"/>
    <w:rsid w:val="00220B00"/>
    <w:rsid w:val="00221091"/>
    <w:rsid w:val="0023308A"/>
    <w:rsid w:val="00236671"/>
    <w:rsid w:val="00236903"/>
    <w:rsid w:val="00245005"/>
    <w:rsid w:val="00245933"/>
    <w:rsid w:val="00255C0C"/>
    <w:rsid w:val="00260E06"/>
    <w:rsid w:val="00265A20"/>
    <w:rsid w:val="00277C38"/>
    <w:rsid w:val="00283895"/>
    <w:rsid w:val="0028580F"/>
    <w:rsid w:val="0029406A"/>
    <w:rsid w:val="00295C16"/>
    <w:rsid w:val="002A6408"/>
    <w:rsid w:val="002A69C1"/>
    <w:rsid w:val="002A7429"/>
    <w:rsid w:val="002B0355"/>
    <w:rsid w:val="002C0AD6"/>
    <w:rsid w:val="002C1879"/>
    <w:rsid w:val="002C42BE"/>
    <w:rsid w:val="002C6E6B"/>
    <w:rsid w:val="002E4FB0"/>
    <w:rsid w:val="002E6518"/>
    <w:rsid w:val="002F3202"/>
    <w:rsid w:val="002F57B1"/>
    <w:rsid w:val="00300F39"/>
    <w:rsid w:val="00302FBB"/>
    <w:rsid w:val="00304FF7"/>
    <w:rsid w:val="00307740"/>
    <w:rsid w:val="003100C1"/>
    <w:rsid w:val="003107E5"/>
    <w:rsid w:val="00334F72"/>
    <w:rsid w:val="00335BDE"/>
    <w:rsid w:val="0033707B"/>
    <w:rsid w:val="00343765"/>
    <w:rsid w:val="003441F2"/>
    <w:rsid w:val="00360E14"/>
    <w:rsid w:val="00366BD7"/>
    <w:rsid w:val="003750A8"/>
    <w:rsid w:val="0037656C"/>
    <w:rsid w:val="00382478"/>
    <w:rsid w:val="003874F4"/>
    <w:rsid w:val="00391676"/>
    <w:rsid w:val="00392D77"/>
    <w:rsid w:val="00394A2B"/>
    <w:rsid w:val="003964C2"/>
    <w:rsid w:val="003B3E33"/>
    <w:rsid w:val="003B4303"/>
    <w:rsid w:val="003D3927"/>
    <w:rsid w:val="003E13AD"/>
    <w:rsid w:val="003E7146"/>
    <w:rsid w:val="004036CD"/>
    <w:rsid w:val="00410968"/>
    <w:rsid w:val="0041375A"/>
    <w:rsid w:val="00415173"/>
    <w:rsid w:val="00420EB6"/>
    <w:rsid w:val="00430AE3"/>
    <w:rsid w:val="00444145"/>
    <w:rsid w:val="00450B97"/>
    <w:rsid w:val="004513AB"/>
    <w:rsid w:val="004517E4"/>
    <w:rsid w:val="00465273"/>
    <w:rsid w:val="00466748"/>
    <w:rsid w:val="00481279"/>
    <w:rsid w:val="00482457"/>
    <w:rsid w:val="00485C21"/>
    <w:rsid w:val="004A34C5"/>
    <w:rsid w:val="004A50B7"/>
    <w:rsid w:val="004B2C32"/>
    <w:rsid w:val="004B35C8"/>
    <w:rsid w:val="004B724A"/>
    <w:rsid w:val="004C1753"/>
    <w:rsid w:val="004C6EF5"/>
    <w:rsid w:val="004E277E"/>
    <w:rsid w:val="004E374C"/>
    <w:rsid w:val="004E3FCF"/>
    <w:rsid w:val="004F2E97"/>
    <w:rsid w:val="00500227"/>
    <w:rsid w:val="005032DF"/>
    <w:rsid w:val="005107C2"/>
    <w:rsid w:val="0051657B"/>
    <w:rsid w:val="00520027"/>
    <w:rsid w:val="00520FB1"/>
    <w:rsid w:val="00521634"/>
    <w:rsid w:val="00522B77"/>
    <w:rsid w:val="0053135E"/>
    <w:rsid w:val="00542C03"/>
    <w:rsid w:val="0054450E"/>
    <w:rsid w:val="00561525"/>
    <w:rsid w:val="0056543E"/>
    <w:rsid w:val="005664B4"/>
    <w:rsid w:val="00571336"/>
    <w:rsid w:val="00571DF5"/>
    <w:rsid w:val="00573934"/>
    <w:rsid w:val="00587BB1"/>
    <w:rsid w:val="00597EEA"/>
    <w:rsid w:val="005A7F34"/>
    <w:rsid w:val="005B64BB"/>
    <w:rsid w:val="005B756C"/>
    <w:rsid w:val="005D1C95"/>
    <w:rsid w:val="005D461E"/>
    <w:rsid w:val="005E341A"/>
    <w:rsid w:val="00603E4C"/>
    <w:rsid w:val="00617988"/>
    <w:rsid w:val="006205B5"/>
    <w:rsid w:val="00626525"/>
    <w:rsid w:val="00641089"/>
    <w:rsid w:val="00643F79"/>
    <w:rsid w:val="0064621E"/>
    <w:rsid w:val="0064766F"/>
    <w:rsid w:val="006523F0"/>
    <w:rsid w:val="0065305B"/>
    <w:rsid w:val="00662241"/>
    <w:rsid w:val="006628E2"/>
    <w:rsid w:val="00666ECB"/>
    <w:rsid w:val="006730B0"/>
    <w:rsid w:val="0067345D"/>
    <w:rsid w:val="006770AA"/>
    <w:rsid w:val="0068017A"/>
    <w:rsid w:val="0068732B"/>
    <w:rsid w:val="006A583E"/>
    <w:rsid w:val="006A7085"/>
    <w:rsid w:val="006B0D25"/>
    <w:rsid w:val="006B4748"/>
    <w:rsid w:val="006B4A2F"/>
    <w:rsid w:val="006C0E2C"/>
    <w:rsid w:val="006C19A8"/>
    <w:rsid w:val="006C2FC7"/>
    <w:rsid w:val="006C599B"/>
    <w:rsid w:val="006D3AFF"/>
    <w:rsid w:val="006D605A"/>
    <w:rsid w:val="006F0FD9"/>
    <w:rsid w:val="006F2DB4"/>
    <w:rsid w:val="00701A6F"/>
    <w:rsid w:val="0071041A"/>
    <w:rsid w:val="00722367"/>
    <w:rsid w:val="0073011D"/>
    <w:rsid w:val="00732A51"/>
    <w:rsid w:val="0074712A"/>
    <w:rsid w:val="0074788B"/>
    <w:rsid w:val="007507E3"/>
    <w:rsid w:val="00756484"/>
    <w:rsid w:val="007666FA"/>
    <w:rsid w:val="00777C21"/>
    <w:rsid w:val="00780F88"/>
    <w:rsid w:val="0079019C"/>
    <w:rsid w:val="00790D4F"/>
    <w:rsid w:val="0079654D"/>
    <w:rsid w:val="007A05B2"/>
    <w:rsid w:val="007A25F6"/>
    <w:rsid w:val="007A5173"/>
    <w:rsid w:val="007A5CDB"/>
    <w:rsid w:val="007B1ED6"/>
    <w:rsid w:val="007B7026"/>
    <w:rsid w:val="007D3FE3"/>
    <w:rsid w:val="007E68C9"/>
    <w:rsid w:val="007F399A"/>
    <w:rsid w:val="007F5C6B"/>
    <w:rsid w:val="00805A04"/>
    <w:rsid w:val="0082029A"/>
    <w:rsid w:val="0082262E"/>
    <w:rsid w:val="00830B8F"/>
    <w:rsid w:val="00831E50"/>
    <w:rsid w:val="0083218C"/>
    <w:rsid w:val="0084172B"/>
    <w:rsid w:val="00851AB9"/>
    <w:rsid w:val="0085636A"/>
    <w:rsid w:val="00867415"/>
    <w:rsid w:val="00867AAA"/>
    <w:rsid w:val="00870BA9"/>
    <w:rsid w:val="008848D8"/>
    <w:rsid w:val="0088698D"/>
    <w:rsid w:val="00891A21"/>
    <w:rsid w:val="00894E05"/>
    <w:rsid w:val="008954CD"/>
    <w:rsid w:val="008A4CFC"/>
    <w:rsid w:val="008A6DEB"/>
    <w:rsid w:val="008C1C81"/>
    <w:rsid w:val="008C7F06"/>
    <w:rsid w:val="008D0189"/>
    <w:rsid w:val="008E75DB"/>
    <w:rsid w:val="008F30B8"/>
    <w:rsid w:val="008F5F01"/>
    <w:rsid w:val="008F6550"/>
    <w:rsid w:val="008F6F5E"/>
    <w:rsid w:val="00900D8D"/>
    <w:rsid w:val="00911143"/>
    <w:rsid w:val="009222A3"/>
    <w:rsid w:val="00923F10"/>
    <w:rsid w:val="0093444B"/>
    <w:rsid w:val="009366C5"/>
    <w:rsid w:val="00940605"/>
    <w:rsid w:val="00956344"/>
    <w:rsid w:val="00957D53"/>
    <w:rsid w:val="00974953"/>
    <w:rsid w:val="00975585"/>
    <w:rsid w:val="00975C80"/>
    <w:rsid w:val="0097791C"/>
    <w:rsid w:val="00980491"/>
    <w:rsid w:val="00982B36"/>
    <w:rsid w:val="0098348D"/>
    <w:rsid w:val="00984408"/>
    <w:rsid w:val="00985C04"/>
    <w:rsid w:val="009919D6"/>
    <w:rsid w:val="00993025"/>
    <w:rsid w:val="009976C0"/>
    <w:rsid w:val="009A0142"/>
    <w:rsid w:val="009A211B"/>
    <w:rsid w:val="009A3C5C"/>
    <w:rsid w:val="009B0639"/>
    <w:rsid w:val="009B2B80"/>
    <w:rsid w:val="009B7ABC"/>
    <w:rsid w:val="009D344F"/>
    <w:rsid w:val="009D652B"/>
    <w:rsid w:val="009E1FA9"/>
    <w:rsid w:val="009F4828"/>
    <w:rsid w:val="00A019BC"/>
    <w:rsid w:val="00A102A0"/>
    <w:rsid w:val="00A11EFD"/>
    <w:rsid w:val="00A14FB9"/>
    <w:rsid w:val="00A14FD5"/>
    <w:rsid w:val="00A22124"/>
    <w:rsid w:val="00A31AD7"/>
    <w:rsid w:val="00A41E5A"/>
    <w:rsid w:val="00A425BA"/>
    <w:rsid w:val="00A43982"/>
    <w:rsid w:val="00A52483"/>
    <w:rsid w:val="00A53E3F"/>
    <w:rsid w:val="00A5594B"/>
    <w:rsid w:val="00A55C7A"/>
    <w:rsid w:val="00A82A74"/>
    <w:rsid w:val="00A85CBA"/>
    <w:rsid w:val="00A90858"/>
    <w:rsid w:val="00A911CE"/>
    <w:rsid w:val="00A951FE"/>
    <w:rsid w:val="00A952F8"/>
    <w:rsid w:val="00AA049C"/>
    <w:rsid w:val="00AA5ECA"/>
    <w:rsid w:val="00AA6206"/>
    <w:rsid w:val="00AB1CE5"/>
    <w:rsid w:val="00AC43FA"/>
    <w:rsid w:val="00AC5A1D"/>
    <w:rsid w:val="00AD2BD2"/>
    <w:rsid w:val="00AD5431"/>
    <w:rsid w:val="00AE7B52"/>
    <w:rsid w:val="00AF1236"/>
    <w:rsid w:val="00AF3755"/>
    <w:rsid w:val="00AF7469"/>
    <w:rsid w:val="00B01FD9"/>
    <w:rsid w:val="00B0515F"/>
    <w:rsid w:val="00B07AAC"/>
    <w:rsid w:val="00B07EB9"/>
    <w:rsid w:val="00B13718"/>
    <w:rsid w:val="00B21580"/>
    <w:rsid w:val="00B33573"/>
    <w:rsid w:val="00B355DE"/>
    <w:rsid w:val="00B8297F"/>
    <w:rsid w:val="00B97809"/>
    <w:rsid w:val="00BA174E"/>
    <w:rsid w:val="00BA79D6"/>
    <w:rsid w:val="00BB5D2C"/>
    <w:rsid w:val="00BC3310"/>
    <w:rsid w:val="00BC4C76"/>
    <w:rsid w:val="00BC76F4"/>
    <w:rsid w:val="00BD44A4"/>
    <w:rsid w:val="00BE518B"/>
    <w:rsid w:val="00BE5A4A"/>
    <w:rsid w:val="00C00342"/>
    <w:rsid w:val="00C02FA8"/>
    <w:rsid w:val="00C03C39"/>
    <w:rsid w:val="00C048DF"/>
    <w:rsid w:val="00C060CF"/>
    <w:rsid w:val="00C17CF5"/>
    <w:rsid w:val="00C2418A"/>
    <w:rsid w:val="00C25B7A"/>
    <w:rsid w:val="00C35ADF"/>
    <w:rsid w:val="00C36DCE"/>
    <w:rsid w:val="00C36F4F"/>
    <w:rsid w:val="00C4054C"/>
    <w:rsid w:val="00C51157"/>
    <w:rsid w:val="00C63D49"/>
    <w:rsid w:val="00C670B6"/>
    <w:rsid w:val="00C808DD"/>
    <w:rsid w:val="00C8141D"/>
    <w:rsid w:val="00C8258F"/>
    <w:rsid w:val="00C827B1"/>
    <w:rsid w:val="00C86043"/>
    <w:rsid w:val="00C87E82"/>
    <w:rsid w:val="00CA247D"/>
    <w:rsid w:val="00CB017D"/>
    <w:rsid w:val="00CB196B"/>
    <w:rsid w:val="00CB540E"/>
    <w:rsid w:val="00CC1231"/>
    <w:rsid w:val="00CD0EA7"/>
    <w:rsid w:val="00CD0F0D"/>
    <w:rsid w:val="00CD3203"/>
    <w:rsid w:val="00CD47A4"/>
    <w:rsid w:val="00CD6A5D"/>
    <w:rsid w:val="00CF30C3"/>
    <w:rsid w:val="00CF4602"/>
    <w:rsid w:val="00CF5761"/>
    <w:rsid w:val="00CF7464"/>
    <w:rsid w:val="00D02280"/>
    <w:rsid w:val="00D02883"/>
    <w:rsid w:val="00D16A38"/>
    <w:rsid w:val="00D200E0"/>
    <w:rsid w:val="00D273D2"/>
    <w:rsid w:val="00D34814"/>
    <w:rsid w:val="00D37CE7"/>
    <w:rsid w:val="00D41E5B"/>
    <w:rsid w:val="00D464BE"/>
    <w:rsid w:val="00D550D1"/>
    <w:rsid w:val="00D6080E"/>
    <w:rsid w:val="00D61E88"/>
    <w:rsid w:val="00D61EE1"/>
    <w:rsid w:val="00D7768D"/>
    <w:rsid w:val="00D77B62"/>
    <w:rsid w:val="00D84DC7"/>
    <w:rsid w:val="00D8594F"/>
    <w:rsid w:val="00DA212A"/>
    <w:rsid w:val="00DA29F0"/>
    <w:rsid w:val="00DA4363"/>
    <w:rsid w:val="00DB3198"/>
    <w:rsid w:val="00DC4D91"/>
    <w:rsid w:val="00DD1974"/>
    <w:rsid w:val="00DD331A"/>
    <w:rsid w:val="00DD6048"/>
    <w:rsid w:val="00DE1719"/>
    <w:rsid w:val="00DF4F75"/>
    <w:rsid w:val="00DF5A37"/>
    <w:rsid w:val="00E02CC3"/>
    <w:rsid w:val="00E06BA8"/>
    <w:rsid w:val="00E144CC"/>
    <w:rsid w:val="00E15071"/>
    <w:rsid w:val="00E15A36"/>
    <w:rsid w:val="00E16640"/>
    <w:rsid w:val="00E21A33"/>
    <w:rsid w:val="00E4154D"/>
    <w:rsid w:val="00E431C4"/>
    <w:rsid w:val="00E471EA"/>
    <w:rsid w:val="00E65BBB"/>
    <w:rsid w:val="00E733FC"/>
    <w:rsid w:val="00E73B70"/>
    <w:rsid w:val="00E761F3"/>
    <w:rsid w:val="00E82395"/>
    <w:rsid w:val="00E8364E"/>
    <w:rsid w:val="00E866DC"/>
    <w:rsid w:val="00E90BD0"/>
    <w:rsid w:val="00E94227"/>
    <w:rsid w:val="00EA2CEC"/>
    <w:rsid w:val="00EB4AE6"/>
    <w:rsid w:val="00EE2F08"/>
    <w:rsid w:val="00EE3ECA"/>
    <w:rsid w:val="00EE6BE9"/>
    <w:rsid w:val="00EF10DC"/>
    <w:rsid w:val="00F0435E"/>
    <w:rsid w:val="00F1520F"/>
    <w:rsid w:val="00F160CE"/>
    <w:rsid w:val="00F2730E"/>
    <w:rsid w:val="00F36803"/>
    <w:rsid w:val="00F401F6"/>
    <w:rsid w:val="00F45697"/>
    <w:rsid w:val="00F510B0"/>
    <w:rsid w:val="00F70D34"/>
    <w:rsid w:val="00F75025"/>
    <w:rsid w:val="00F8096D"/>
    <w:rsid w:val="00F86D54"/>
    <w:rsid w:val="00FA18F6"/>
    <w:rsid w:val="00FA511B"/>
    <w:rsid w:val="00FA5157"/>
    <w:rsid w:val="00FB546D"/>
    <w:rsid w:val="00FC11FA"/>
    <w:rsid w:val="00FC13B6"/>
    <w:rsid w:val="00FC5C55"/>
    <w:rsid w:val="00FD3A6A"/>
    <w:rsid w:val="00FF32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DE6D3B"/>
  <w15:docId w15:val="{015F6125-01DB-483C-A2CA-7D4CE718B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F2DB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A53E3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A53E3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semiHidden/>
    <w:unhideWhenUsed/>
    <w:qFormat/>
    <w:rsid w:val="00A53E3F"/>
    <w:pPr>
      <w:keepNext/>
      <w:keepLines/>
      <w:spacing w:before="40"/>
      <w:outlineLvl w:val="2"/>
    </w:pPr>
    <w:rPr>
      <w:rFonts w:asciiTheme="majorHAnsi" w:eastAsiaTheme="majorEastAsia" w:hAnsiTheme="majorHAnsi" w:cstheme="majorBidi"/>
      <w:color w:val="243F60" w:themeColor="accent1" w:themeShade="7F"/>
    </w:rPr>
  </w:style>
  <w:style w:type="paragraph" w:styleId="5">
    <w:name w:val="heading 5"/>
    <w:basedOn w:val="a"/>
    <w:next w:val="a"/>
    <w:link w:val="50"/>
    <w:uiPriority w:val="9"/>
    <w:semiHidden/>
    <w:unhideWhenUsed/>
    <w:qFormat/>
    <w:rsid w:val="00A53E3F"/>
    <w:pPr>
      <w:keepNext/>
      <w:keepLines/>
      <w:spacing w:before="40"/>
      <w:outlineLvl w:val="4"/>
    </w:pPr>
    <w:rPr>
      <w:rFonts w:asciiTheme="majorHAnsi" w:eastAsiaTheme="majorEastAsia" w:hAnsiTheme="majorHAnsi" w:cstheme="majorBidi"/>
      <w:color w:val="365F91" w:themeColor="accent1" w:themeShade="BF"/>
    </w:rPr>
  </w:style>
  <w:style w:type="paragraph" w:styleId="9">
    <w:name w:val="heading 9"/>
    <w:basedOn w:val="a"/>
    <w:next w:val="a"/>
    <w:link w:val="90"/>
    <w:uiPriority w:val="9"/>
    <w:semiHidden/>
    <w:unhideWhenUsed/>
    <w:qFormat/>
    <w:rsid w:val="00A53E3F"/>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6F2DB4"/>
    <w:pPr>
      <w:tabs>
        <w:tab w:val="center" w:pos="4677"/>
        <w:tab w:val="right" w:pos="9355"/>
      </w:tabs>
    </w:pPr>
  </w:style>
  <w:style w:type="character" w:customStyle="1" w:styleId="a4">
    <w:name w:val="Нижний колонтитул Знак"/>
    <w:basedOn w:val="a0"/>
    <w:link w:val="a3"/>
    <w:uiPriority w:val="99"/>
    <w:rsid w:val="006F2DB4"/>
    <w:rPr>
      <w:rFonts w:ascii="Times New Roman" w:eastAsia="Times New Roman" w:hAnsi="Times New Roman" w:cs="Times New Roman"/>
      <w:sz w:val="24"/>
      <w:szCs w:val="24"/>
      <w:lang w:eastAsia="ru-RU"/>
    </w:rPr>
  </w:style>
  <w:style w:type="character" w:styleId="a5">
    <w:name w:val="page number"/>
    <w:basedOn w:val="a0"/>
    <w:rsid w:val="006F2DB4"/>
  </w:style>
  <w:style w:type="paragraph" w:styleId="a6">
    <w:name w:val="header"/>
    <w:basedOn w:val="a"/>
    <w:link w:val="a7"/>
    <w:rsid w:val="006F2DB4"/>
    <w:pPr>
      <w:tabs>
        <w:tab w:val="center" w:pos="4677"/>
        <w:tab w:val="right" w:pos="9355"/>
      </w:tabs>
    </w:pPr>
  </w:style>
  <w:style w:type="character" w:customStyle="1" w:styleId="a7">
    <w:name w:val="Верхний колонтитул Знак"/>
    <w:basedOn w:val="a0"/>
    <w:link w:val="a6"/>
    <w:rsid w:val="006F2DB4"/>
    <w:rPr>
      <w:rFonts w:ascii="Times New Roman" w:eastAsia="Times New Roman" w:hAnsi="Times New Roman" w:cs="Times New Roman"/>
      <w:sz w:val="24"/>
      <w:szCs w:val="24"/>
      <w:lang w:eastAsia="ru-RU"/>
    </w:rPr>
  </w:style>
  <w:style w:type="paragraph" w:styleId="a8">
    <w:name w:val="Body Text Indent"/>
    <w:basedOn w:val="a"/>
    <w:link w:val="a9"/>
    <w:rsid w:val="006F2DB4"/>
    <w:pPr>
      <w:ind w:firstLine="720"/>
      <w:jc w:val="both"/>
    </w:pPr>
    <w:rPr>
      <w:sz w:val="30"/>
    </w:rPr>
  </w:style>
  <w:style w:type="character" w:customStyle="1" w:styleId="a9">
    <w:name w:val="Основной текст с отступом Знак"/>
    <w:basedOn w:val="a0"/>
    <w:link w:val="a8"/>
    <w:rsid w:val="006F2DB4"/>
    <w:rPr>
      <w:rFonts w:ascii="Times New Roman" w:eastAsia="Times New Roman" w:hAnsi="Times New Roman" w:cs="Times New Roman"/>
      <w:sz w:val="30"/>
      <w:szCs w:val="24"/>
      <w:lang w:eastAsia="ru-RU"/>
    </w:rPr>
  </w:style>
  <w:style w:type="paragraph" w:styleId="21">
    <w:name w:val="Body Text 2"/>
    <w:basedOn w:val="a"/>
    <w:link w:val="22"/>
    <w:uiPriority w:val="99"/>
    <w:rsid w:val="006F2DB4"/>
    <w:pPr>
      <w:spacing w:after="120" w:line="480" w:lineRule="auto"/>
    </w:pPr>
  </w:style>
  <w:style w:type="character" w:customStyle="1" w:styleId="22">
    <w:name w:val="Основной текст 2 Знак"/>
    <w:basedOn w:val="a0"/>
    <w:link w:val="21"/>
    <w:uiPriority w:val="99"/>
    <w:rsid w:val="006F2DB4"/>
    <w:rPr>
      <w:rFonts w:ascii="Times New Roman" w:eastAsia="Times New Roman" w:hAnsi="Times New Roman" w:cs="Times New Roman"/>
      <w:sz w:val="24"/>
      <w:szCs w:val="24"/>
    </w:rPr>
  </w:style>
  <w:style w:type="paragraph" w:styleId="31">
    <w:name w:val="Body Text Indent 3"/>
    <w:basedOn w:val="a"/>
    <w:link w:val="32"/>
    <w:rsid w:val="006F2DB4"/>
    <w:pPr>
      <w:spacing w:after="120"/>
      <w:ind w:left="283"/>
    </w:pPr>
    <w:rPr>
      <w:sz w:val="16"/>
      <w:szCs w:val="16"/>
    </w:rPr>
  </w:style>
  <w:style w:type="character" w:customStyle="1" w:styleId="32">
    <w:name w:val="Основной текст с отступом 3 Знак"/>
    <w:basedOn w:val="a0"/>
    <w:link w:val="31"/>
    <w:rsid w:val="006F2DB4"/>
    <w:rPr>
      <w:rFonts w:ascii="Times New Roman" w:eastAsia="Times New Roman" w:hAnsi="Times New Roman" w:cs="Times New Roman"/>
      <w:sz w:val="16"/>
      <w:szCs w:val="16"/>
      <w:lang w:eastAsia="ru-RU"/>
    </w:rPr>
  </w:style>
  <w:style w:type="paragraph" w:styleId="aa">
    <w:name w:val="Normal (Web)"/>
    <w:basedOn w:val="a"/>
    <w:uiPriority w:val="99"/>
    <w:rsid w:val="006F2DB4"/>
    <w:pPr>
      <w:spacing w:before="100" w:beforeAutospacing="1" w:after="100" w:afterAutospacing="1"/>
    </w:pPr>
    <w:rPr>
      <w:rFonts w:eastAsia="MS Mincho"/>
      <w:color w:val="001F4B"/>
      <w:sz w:val="20"/>
      <w:szCs w:val="20"/>
      <w:lang w:eastAsia="ja-JP"/>
    </w:rPr>
  </w:style>
  <w:style w:type="character" w:customStyle="1" w:styleId="FontStyle12">
    <w:name w:val="Font Style12"/>
    <w:rsid w:val="006F2DB4"/>
    <w:rPr>
      <w:rFonts w:ascii="Times New Roman" w:hAnsi="Times New Roman" w:cs="Times New Roman"/>
      <w:sz w:val="26"/>
      <w:szCs w:val="26"/>
    </w:rPr>
  </w:style>
  <w:style w:type="paragraph" w:customStyle="1" w:styleId="rvps620797">
    <w:name w:val="rvps6_20797"/>
    <w:basedOn w:val="a"/>
    <w:rsid w:val="006F2DB4"/>
    <w:pPr>
      <w:spacing w:before="100" w:beforeAutospacing="1" w:after="100" w:afterAutospacing="1"/>
    </w:pPr>
  </w:style>
  <w:style w:type="character" w:styleId="ab">
    <w:name w:val="annotation reference"/>
    <w:basedOn w:val="a0"/>
    <w:rsid w:val="003D3927"/>
    <w:rPr>
      <w:sz w:val="16"/>
      <w:szCs w:val="16"/>
    </w:rPr>
  </w:style>
  <w:style w:type="paragraph" w:styleId="ac">
    <w:name w:val="annotation text"/>
    <w:basedOn w:val="a"/>
    <w:link w:val="ad"/>
    <w:uiPriority w:val="99"/>
    <w:rsid w:val="003D3927"/>
    <w:rPr>
      <w:sz w:val="20"/>
      <w:szCs w:val="20"/>
    </w:rPr>
  </w:style>
  <w:style w:type="character" w:customStyle="1" w:styleId="ad">
    <w:name w:val="Текст примечания Знак"/>
    <w:basedOn w:val="a0"/>
    <w:link w:val="ac"/>
    <w:uiPriority w:val="99"/>
    <w:rsid w:val="003D3927"/>
    <w:rPr>
      <w:rFonts w:ascii="Times New Roman" w:eastAsia="Times New Roman" w:hAnsi="Times New Roman" w:cs="Times New Roman"/>
      <w:sz w:val="20"/>
      <w:szCs w:val="20"/>
      <w:lang w:eastAsia="ru-RU"/>
    </w:rPr>
  </w:style>
  <w:style w:type="paragraph" w:styleId="ae">
    <w:name w:val="Balloon Text"/>
    <w:basedOn w:val="a"/>
    <w:link w:val="af"/>
    <w:uiPriority w:val="99"/>
    <w:semiHidden/>
    <w:unhideWhenUsed/>
    <w:rsid w:val="003D3927"/>
    <w:rPr>
      <w:rFonts w:ascii="Tahoma" w:hAnsi="Tahoma" w:cs="Tahoma"/>
      <w:sz w:val="16"/>
      <w:szCs w:val="16"/>
    </w:rPr>
  </w:style>
  <w:style w:type="character" w:customStyle="1" w:styleId="af">
    <w:name w:val="Текст выноски Знак"/>
    <w:basedOn w:val="a0"/>
    <w:link w:val="ae"/>
    <w:uiPriority w:val="99"/>
    <w:semiHidden/>
    <w:rsid w:val="003D3927"/>
    <w:rPr>
      <w:rFonts w:ascii="Tahoma" w:eastAsia="Times New Roman" w:hAnsi="Tahoma" w:cs="Tahoma"/>
      <w:sz w:val="16"/>
      <w:szCs w:val="16"/>
      <w:lang w:eastAsia="ru-RU"/>
    </w:rPr>
  </w:style>
  <w:style w:type="paragraph" w:styleId="af0">
    <w:name w:val="footnote text"/>
    <w:aliases w:val="Table_Footnote_last,Текст сноски Знак2,Текст сноски Знак Знак1,Текст сноски Знак1 Знак,Текст сноски Знак Знак Знак,Текст сноски Знак Знак Знак1,Текст сноски Знак Знак2,Текст сноски Знак Знак,З,Знак2,Зна,fn,Знак8,Текст сноски Знак Знак З"/>
    <w:basedOn w:val="a"/>
    <w:link w:val="af1"/>
    <w:uiPriority w:val="99"/>
    <w:unhideWhenUsed/>
    <w:qFormat/>
    <w:rsid w:val="009919D6"/>
    <w:rPr>
      <w:rFonts w:asciiTheme="minorHAnsi" w:eastAsiaTheme="minorHAnsi" w:hAnsiTheme="minorHAnsi" w:cstheme="minorBidi"/>
      <w:sz w:val="20"/>
      <w:szCs w:val="20"/>
      <w:lang w:val="en-US" w:eastAsia="en-US"/>
    </w:rPr>
  </w:style>
  <w:style w:type="character" w:customStyle="1" w:styleId="af1">
    <w:name w:val="Текст сноски Знак"/>
    <w:aliases w:val="Table_Footnote_last Знак,Текст сноски Знак2 Знак,Текст сноски Знак Знак1 Знак,Текст сноски Знак1 Знак Знак,Текст сноски Знак Знак Знак Знак,Текст сноски Знак Знак Знак1 Знак,Текст сноски Знак Знак2 Знак,Текст сноски Знак Знак Знак2"/>
    <w:basedOn w:val="a0"/>
    <w:link w:val="af0"/>
    <w:uiPriority w:val="99"/>
    <w:qFormat/>
    <w:rsid w:val="009919D6"/>
    <w:rPr>
      <w:sz w:val="20"/>
      <w:szCs w:val="20"/>
      <w:lang w:val="en-US"/>
    </w:rPr>
  </w:style>
  <w:style w:type="character" w:styleId="af2">
    <w:name w:val="footnote reference"/>
    <w:aliases w:val="fr,Used by Word for Help footnote symbols,Знак сноски-FN,Знак сноски 1,Ciae niinee-FN,Referencia nota al pie,ftref,сноска,Знак сноски Даша,вески,SUPERS,Знак сноски1,ХИА_ЗС,Текст сноски Знак2 Знак Знак1,Текст сноски Знак1 Знак Знак Знак1,ftre"/>
    <w:basedOn w:val="a0"/>
    <w:link w:val="CharChar1CharCharCharChar1CharCharCharCharCharCharCharChar"/>
    <w:uiPriority w:val="99"/>
    <w:unhideWhenUsed/>
    <w:qFormat/>
    <w:rsid w:val="009919D6"/>
    <w:rPr>
      <w:vertAlign w:val="superscript"/>
    </w:rPr>
  </w:style>
  <w:style w:type="table" w:styleId="af3">
    <w:name w:val="Table Grid"/>
    <w:basedOn w:val="a1"/>
    <w:uiPriority w:val="39"/>
    <w:rsid w:val="009919D6"/>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List Paragraph"/>
    <w:aliases w:val="Table-Normal,RSHB_Table-Normal,1,UL,Абзац маркированнный,Bullet_IRAO,Мой Список,AC List 01,Подпись рисунка,List Paragraph1,Абзац списка◄,Bullet List,FooterText,numbered,ПАРАГРАФ,Абзац списка3,Recommendation,List Paragraph11,List1,List11,lp1"/>
    <w:basedOn w:val="a"/>
    <w:link w:val="af5"/>
    <w:uiPriority w:val="34"/>
    <w:qFormat/>
    <w:rsid w:val="00141EEE"/>
    <w:pPr>
      <w:ind w:left="720"/>
      <w:contextualSpacing/>
    </w:pPr>
  </w:style>
  <w:style w:type="paragraph" w:styleId="af6">
    <w:name w:val="annotation subject"/>
    <w:basedOn w:val="ac"/>
    <w:next w:val="ac"/>
    <w:link w:val="af7"/>
    <w:uiPriority w:val="99"/>
    <w:semiHidden/>
    <w:unhideWhenUsed/>
    <w:rsid w:val="00974953"/>
    <w:rPr>
      <w:b/>
      <w:bCs/>
    </w:rPr>
  </w:style>
  <w:style w:type="character" w:customStyle="1" w:styleId="af7">
    <w:name w:val="Тема примечания Знак"/>
    <w:basedOn w:val="ad"/>
    <w:link w:val="af6"/>
    <w:uiPriority w:val="99"/>
    <w:semiHidden/>
    <w:rsid w:val="00974953"/>
    <w:rPr>
      <w:rFonts w:ascii="Times New Roman" w:eastAsia="Times New Roman" w:hAnsi="Times New Roman" w:cs="Times New Roman"/>
      <w:b/>
      <w:bCs/>
      <w:sz w:val="20"/>
      <w:szCs w:val="20"/>
      <w:lang w:eastAsia="ru-RU"/>
    </w:rPr>
  </w:style>
  <w:style w:type="paragraph" w:customStyle="1" w:styleId="CharChar1CharCharCharChar1CharCharCharCharCharCharCharChar">
    <w:name w:val="Char Char1 Char Char Char Char1 Char Char Char Char Char Char Char Char"/>
    <w:aliases w:val="Char Char1 Char Char Char Char1 Char Char Char Char Char Char Char Char Char Char Char Char"/>
    <w:basedOn w:val="a"/>
    <w:next w:val="a"/>
    <w:link w:val="af2"/>
    <w:uiPriority w:val="99"/>
    <w:qFormat/>
    <w:rsid w:val="00500227"/>
    <w:pPr>
      <w:spacing w:after="160" w:line="240" w:lineRule="exact"/>
      <w:jc w:val="both"/>
    </w:pPr>
    <w:rPr>
      <w:rFonts w:asciiTheme="minorHAnsi" w:eastAsiaTheme="minorHAnsi" w:hAnsiTheme="minorHAnsi" w:cstheme="minorBidi"/>
      <w:sz w:val="22"/>
      <w:szCs w:val="22"/>
      <w:vertAlign w:val="superscript"/>
      <w:lang w:eastAsia="en-US"/>
    </w:rPr>
  </w:style>
  <w:style w:type="character" w:customStyle="1" w:styleId="af5">
    <w:name w:val="Абзац списка Знак"/>
    <w:aliases w:val="Table-Normal Знак,RSHB_Table-Normal Знак,1 Знак,UL Знак,Абзац маркированнный Знак,Bullet_IRAO Знак,Мой Список Знак,AC List 01 Знак,Подпись рисунка Знак,List Paragraph1 Знак,Абзац списка◄ Знак,Bullet List Знак,FooterText Знак,List1 Знак"/>
    <w:link w:val="af4"/>
    <w:uiPriority w:val="34"/>
    <w:qFormat/>
    <w:locked/>
    <w:rsid w:val="00500227"/>
    <w:rPr>
      <w:rFonts w:ascii="Times New Roman" w:eastAsia="Times New Roman" w:hAnsi="Times New Roman" w:cs="Times New Roman"/>
      <w:sz w:val="24"/>
      <w:szCs w:val="24"/>
      <w:lang w:eastAsia="ru-RU"/>
    </w:rPr>
  </w:style>
  <w:style w:type="paragraph" w:styleId="af8">
    <w:name w:val="No Spacing"/>
    <w:aliases w:val="3ж,33,для вставки"/>
    <w:link w:val="af9"/>
    <w:uiPriority w:val="1"/>
    <w:qFormat/>
    <w:rsid w:val="00500227"/>
    <w:pPr>
      <w:spacing w:after="0" w:line="240" w:lineRule="auto"/>
    </w:pPr>
  </w:style>
  <w:style w:type="character" w:customStyle="1" w:styleId="af9">
    <w:name w:val="Без интервала Знак"/>
    <w:aliases w:val="3ж Знак,33 Знак,для вставки Знак"/>
    <w:link w:val="af8"/>
    <w:uiPriority w:val="1"/>
    <w:locked/>
    <w:rsid w:val="00500227"/>
  </w:style>
  <w:style w:type="character" w:customStyle="1" w:styleId="23">
    <w:name w:val="Основной текст (2)"/>
    <w:basedOn w:val="a0"/>
    <w:rsid w:val="0093444B"/>
    <w:rPr>
      <w:rFonts w:ascii="Arial" w:eastAsia="Arial" w:hAnsi="Arial" w:cs="Arial"/>
      <w:b w:val="0"/>
      <w:bCs w:val="0"/>
      <w:i w:val="0"/>
      <w:iCs w:val="0"/>
      <w:smallCaps w:val="0"/>
      <w:strike w:val="0"/>
      <w:color w:val="000000"/>
      <w:spacing w:val="0"/>
      <w:w w:val="100"/>
      <w:position w:val="0"/>
      <w:sz w:val="22"/>
      <w:szCs w:val="22"/>
      <w:u w:val="none"/>
      <w:lang w:val="ru-RU" w:eastAsia="ru-RU" w:bidi="ru-RU"/>
    </w:rPr>
  </w:style>
  <w:style w:type="character" w:customStyle="1" w:styleId="10">
    <w:name w:val="Заголовок 1 Знак"/>
    <w:basedOn w:val="a0"/>
    <w:link w:val="1"/>
    <w:uiPriority w:val="9"/>
    <w:rsid w:val="00A53E3F"/>
    <w:rPr>
      <w:rFonts w:asciiTheme="majorHAnsi" w:eastAsiaTheme="majorEastAsia" w:hAnsiTheme="majorHAnsi" w:cstheme="majorBidi"/>
      <w:color w:val="365F91" w:themeColor="accent1" w:themeShade="BF"/>
      <w:sz w:val="32"/>
      <w:szCs w:val="32"/>
      <w:lang w:eastAsia="ru-RU"/>
    </w:rPr>
  </w:style>
  <w:style w:type="character" w:customStyle="1" w:styleId="90">
    <w:name w:val="Заголовок 9 Знак"/>
    <w:basedOn w:val="a0"/>
    <w:link w:val="9"/>
    <w:uiPriority w:val="9"/>
    <w:semiHidden/>
    <w:rsid w:val="00A53E3F"/>
    <w:rPr>
      <w:rFonts w:asciiTheme="majorHAnsi" w:eastAsiaTheme="majorEastAsia" w:hAnsiTheme="majorHAnsi" w:cstheme="majorBidi"/>
      <w:i/>
      <w:iCs/>
      <w:color w:val="272727" w:themeColor="text1" w:themeTint="D8"/>
      <w:sz w:val="21"/>
      <w:szCs w:val="21"/>
      <w:lang w:eastAsia="ru-RU"/>
    </w:rPr>
  </w:style>
  <w:style w:type="character" w:customStyle="1" w:styleId="20">
    <w:name w:val="Заголовок 2 Знак"/>
    <w:basedOn w:val="a0"/>
    <w:link w:val="2"/>
    <w:uiPriority w:val="9"/>
    <w:semiHidden/>
    <w:rsid w:val="00A53E3F"/>
    <w:rPr>
      <w:rFonts w:asciiTheme="majorHAnsi" w:eastAsiaTheme="majorEastAsia" w:hAnsiTheme="majorHAnsi" w:cstheme="majorBidi"/>
      <w:color w:val="365F91" w:themeColor="accent1" w:themeShade="BF"/>
      <w:sz w:val="26"/>
      <w:szCs w:val="26"/>
      <w:lang w:eastAsia="ru-RU"/>
    </w:rPr>
  </w:style>
  <w:style w:type="character" w:customStyle="1" w:styleId="30">
    <w:name w:val="Заголовок 3 Знак"/>
    <w:basedOn w:val="a0"/>
    <w:link w:val="3"/>
    <w:uiPriority w:val="9"/>
    <w:semiHidden/>
    <w:rsid w:val="00A53E3F"/>
    <w:rPr>
      <w:rFonts w:asciiTheme="majorHAnsi" w:eastAsiaTheme="majorEastAsia" w:hAnsiTheme="majorHAnsi" w:cstheme="majorBidi"/>
      <w:color w:val="243F60" w:themeColor="accent1" w:themeShade="7F"/>
      <w:sz w:val="24"/>
      <w:szCs w:val="24"/>
      <w:lang w:eastAsia="ru-RU"/>
    </w:rPr>
  </w:style>
  <w:style w:type="character" w:customStyle="1" w:styleId="50">
    <w:name w:val="Заголовок 5 Знак"/>
    <w:basedOn w:val="a0"/>
    <w:link w:val="5"/>
    <w:uiPriority w:val="9"/>
    <w:semiHidden/>
    <w:rsid w:val="00A53E3F"/>
    <w:rPr>
      <w:rFonts w:asciiTheme="majorHAnsi" w:eastAsiaTheme="majorEastAsia" w:hAnsiTheme="majorHAnsi" w:cstheme="majorBidi"/>
      <w:color w:val="365F91" w:themeColor="accent1" w:themeShade="BF"/>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9392891">
      <w:bodyDiv w:val="1"/>
      <w:marLeft w:val="0"/>
      <w:marRight w:val="0"/>
      <w:marTop w:val="0"/>
      <w:marBottom w:val="0"/>
      <w:divBdr>
        <w:top w:val="none" w:sz="0" w:space="0" w:color="auto"/>
        <w:left w:val="none" w:sz="0" w:space="0" w:color="auto"/>
        <w:bottom w:val="none" w:sz="0" w:space="0" w:color="auto"/>
        <w:right w:val="none" w:sz="0" w:space="0" w:color="auto"/>
      </w:divBdr>
    </w:div>
    <w:div w:id="549805110">
      <w:bodyDiv w:val="1"/>
      <w:marLeft w:val="0"/>
      <w:marRight w:val="0"/>
      <w:marTop w:val="0"/>
      <w:marBottom w:val="0"/>
      <w:divBdr>
        <w:top w:val="none" w:sz="0" w:space="0" w:color="auto"/>
        <w:left w:val="none" w:sz="0" w:space="0" w:color="auto"/>
        <w:bottom w:val="none" w:sz="0" w:space="0" w:color="auto"/>
        <w:right w:val="none" w:sz="0" w:space="0" w:color="auto"/>
      </w:divBdr>
    </w:div>
    <w:div w:id="1428771244">
      <w:bodyDiv w:val="1"/>
      <w:marLeft w:val="0"/>
      <w:marRight w:val="0"/>
      <w:marTop w:val="0"/>
      <w:marBottom w:val="0"/>
      <w:divBdr>
        <w:top w:val="none" w:sz="0" w:space="0" w:color="auto"/>
        <w:left w:val="none" w:sz="0" w:space="0" w:color="auto"/>
        <w:bottom w:val="none" w:sz="0" w:space="0" w:color="auto"/>
        <w:right w:val="none" w:sz="0" w:space="0" w:color="auto"/>
      </w:divBdr>
    </w:div>
    <w:div w:id="1718968696">
      <w:bodyDiv w:val="1"/>
      <w:marLeft w:val="0"/>
      <w:marRight w:val="0"/>
      <w:marTop w:val="0"/>
      <w:marBottom w:val="0"/>
      <w:divBdr>
        <w:top w:val="none" w:sz="0" w:space="0" w:color="auto"/>
        <w:left w:val="none" w:sz="0" w:space="0" w:color="auto"/>
        <w:bottom w:val="none" w:sz="0" w:space="0" w:color="auto"/>
        <w:right w:val="none" w:sz="0" w:space="0" w:color="auto"/>
      </w:divBdr>
    </w:div>
    <w:div w:id="1971395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E23481-E61A-40CD-BE66-AA382BCE8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8</Pages>
  <Words>3698</Words>
  <Characters>21085</Characters>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2023-06-08T07:58:00Z</cp:lastPrinted>
  <dcterms:created xsi:type="dcterms:W3CDTF">2023-05-30T11:16:00Z</dcterms:created>
  <dcterms:modified xsi:type="dcterms:W3CDTF">2023-06-08T08:00:00Z</dcterms:modified>
</cp:coreProperties>
</file>