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8C712" w14:textId="0C1D4B0C" w:rsidR="007007EE" w:rsidRPr="003761A4" w:rsidRDefault="007007EE" w:rsidP="007007EE">
      <w:pPr>
        <w:widowControl w:val="0"/>
        <w:autoSpaceDE w:val="0"/>
        <w:autoSpaceDN w:val="0"/>
        <w:adjustRightInd w:val="0"/>
        <w:ind w:left="6237" w:firstLine="0"/>
        <w:jc w:val="left"/>
        <w:rPr>
          <w:rFonts w:ascii="Times New Roman" w:eastAsia="Times New Roman" w:hAnsi="Times New Roman" w:cs="Times New Roman"/>
          <w:bCs/>
          <w:i/>
          <w:sz w:val="24"/>
          <w:szCs w:val="24"/>
          <w:lang w:eastAsia="ru-RU"/>
        </w:rPr>
      </w:pPr>
      <w:r w:rsidRPr="003761A4">
        <w:rPr>
          <w:rFonts w:ascii="Times New Roman" w:eastAsia="Times New Roman" w:hAnsi="Times New Roman" w:cs="Times New Roman"/>
          <w:bCs/>
          <w:i/>
          <w:sz w:val="24"/>
          <w:szCs w:val="24"/>
          <w:lang w:eastAsia="ru-RU"/>
        </w:rPr>
        <w:t xml:space="preserve">к пункту </w:t>
      </w:r>
      <w:r w:rsidR="003761A4" w:rsidRPr="003761A4">
        <w:rPr>
          <w:rFonts w:ascii="Times New Roman" w:eastAsia="Times New Roman" w:hAnsi="Times New Roman" w:cs="Times New Roman"/>
          <w:bCs/>
          <w:i/>
          <w:sz w:val="24"/>
          <w:szCs w:val="24"/>
          <w:lang w:eastAsia="ru-RU"/>
        </w:rPr>
        <w:t xml:space="preserve">5 </w:t>
      </w:r>
      <w:r w:rsidRPr="003761A4">
        <w:rPr>
          <w:rFonts w:ascii="Times New Roman" w:eastAsia="Times New Roman" w:hAnsi="Times New Roman" w:cs="Times New Roman"/>
          <w:bCs/>
          <w:i/>
          <w:sz w:val="24"/>
          <w:szCs w:val="24"/>
          <w:lang w:eastAsia="ru-RU"/>
        </w:rPr>
        <w:t>повестки дня</w:t>
      </w:r>
    </w:p>
    <w:p w14:paraId="7979B821" w14:textId="269DACD4" w:rsidR="007007EE" w:rsidRPr="003761A4" w:rsidRDefault="007007EE" w:rsidP="007007EE">
      <w:pPr>
        <w:widowControl w:val="0"/>
        <w:autoSpaceDE w:val="0"/>
        <w:autoSpaceDN w:val="0"/>
        <w:adjustRightInd w:val="0"/>
        <w:ind w:left="6237" w:firstLine="0"/>
        <w:jc w:val="left"/>
        <w:rPr>
          <w:rFonts w:ascii="Times New Roman" w:eastAsia="Times New Roman" w:hAnsi="Times New Roman" w:cs="Times New Roman"/>
          <w:bCs/>
          <w:i/>
          <w:sz w:val="24"/>
          <w:szCs w:val="24"/>
          <w:lang w:eastAsia="ru-RU"/>
        </w:rPr>
      </w:pPr>
      <w:r w:rsidRPr="003761A4">
        <w:rPr>
          <w:rFonts w:ascii="Times New Roman" w:eastAsia="Times New Roman" w:hAnsi="Times New Roman" w:cs="Times New Roman"/>
          <w:bCs/>
          <w:i/>
          <w:sz w:val="24"/>
          <w:szCs w:val="24"/>
          <w:lang w:eastAsia="ru-RU"/>
        </w:rPr>
        <w:t>4</w:t>
      </w:r>
      <w:r w:rsidR="00111C06" w:rsidRPr="003761A4">
        <w:rPr>
          <w:rFonts w:ascii="Times New Roman" w:eastAsia="Times New Roman" w:hAnsi="Times New Roman" w:cs="Times New Roman"/>
          <w:bCs/>
          <w:i/>
          <w:sz w:val="24"/>
          <w:szCs w:val="24"/>
          <w:lang w:eastAsia="ru-RU"/>
        </w:rPr>
        <w:t>8</w:t>
      </w:r>
      <w:r w:rsidRPr="003761A4">
        <w:rPr>
          <w:rFonts w:ascii="Times New Roman" w:eastAsia="Times New Roman" w:hAnsi="Times New Roman" w:cs="Times New Roman"/>
          <w:bCs/>
          <w:i/>
          <w:sz w:val="24"/>
          <w:szCs w:val="24"/>
          <w:lang w:eastAsia="ru-RU"/>
        </w:rPr>
        <w:t>-го заседания Евразийского совета центральных (национальных) банков</w:t>
      </w:r>
    </w:p>
    <w:p w14:paraId="4D99CBD7" w14:textId="77777777" w:rsidR="007007EE" w:rsidRPr="003761A4" w:rsidRDefault="007007EE" w:rsidP="007007EE">
      <w:pPr>
        <w:spacing w:after="120"/>
        <w:rPr>
          <w:rFonts w:ascii="Times New Roman" w:eastAsia="Times New Roman" w:hAnsi="Times New Roman" w:cs="Times New Roman"/>
          <w:b/>
          <w:sz w:val="24"/>
          <w:szCs w:val="24"/>
          <w:lang w:eastAsia="ru-RU"/>
        </w:rPr>
      </w:pPr>
    </w:p>
    <w:p w14:paraId="1515186D" w14:textId="253F2A9C" w:rsidR="00DB2F4B" w:rsidRPr="003761A4" w:rsidRDefault="00DB2F4B" w:rsidP="001E48E5">
      <w:pPr>
        <w:pStyle w:val="3"/>
        <w:rPr>
          <w:rFonts w:ascii="Times New Roman" w:eastAsia="Calibri" w:hAnsi="Times New Roman" w:cs="Times New Roman"/>
          <w:b/>
          <w:color w:val="auto"/>
        </w:rPr>
      </w:pPr>
      <w:r w:rsidRPr="003761A4">
        <w:rPr>
          <w:rFonts w:ascii="Times New Roman" w:eastAsia="Calibri" w:hAnsi="Times New Roman" w:cs="Times New Roman"/>
          <w:b/>
          <w:color w:val="auto"/>
        </w:rPr>
        <w:t>О результатах работы за 2022 и перспективах развития банковского сектора на 2023 год государств центральных (национальных) банков – участников ЕСБ</w:t>
      </w:r>
    </w:p>
    <w:p w14:paraId="5E9C05AA" w14:textId="77777777" w:rsidR="00120677" w:rsidRPr="003761A4" w:rsidRDefault="00120677" w:rsidP="005B70D6">
      <w:pPr>
        <w:rPr>
          <w:rFonts w:ascii="Times New Roman" w:hAnsi="Times New Roman" w:cs="Times New Roman"/>
          <w:b/>
          <w:sz w:val="24"/>
          <w:szCs w:val="24"/>
        </w:rPr>
      </w:pPr>
    </w:p>
    <w:p w14:paraId="0188D8E6" w14:textId="79F59D2F" w:rsidR="00120677" w:rsidRPr="003761A4" w:rsidRDefault="00120677" w:rsidP="00DB2F4B">
      <w:pPr>
        <w:pStyle w:val="2"/>
        <w:rPr>
          <w:b/>
          <w:sz w:val="24"/>
          <w:szCs w:val="24"/>
          <w:u w:val="single"/>
          <w:lang w:val="ky-KG"/>
        </w:rPr>
      </w:pPr>
      <w:r w:rsidRPr="003761A4">
        <w:rPr>
          <w:b/>
          <w:sz w:val="24"/>
          <w:szCs w:val="24"/>
          <w:u w:val="single"/>
          <w:lang w:val="ky-KG"/>
        </w:rPr>
        <w:t>1. Текущее состояние, проблемы и вызовы в банковском секторе государств центральных (национальных) банков – участников ЕСБ и пути их решения.</w:t>
      </w:r>
    </w:p>
    <w:p w14:paraId="72EFAF74" w14:textId="42F7E36C" w:rsidR="00AA68EC" w:rsidRPr="003761A4" w:rsidRDefault="00C83D7E" w:rsidP="00DB2F4B">
      <w:pPr>
        <w:pStyle w:val="3"/>
        <w:rPr>
          <w:rFonts w:ascii="Times New Roman" w:eastAsia="Calibri" w:hAnsi="Times New Roman" w:cs="Times New Roman"/>
          <w:b/>
          <w:color w:val="auto"/>
        </w:rPr>
      </w:pPr>
      <w:r w:rsidRPr="003761A4">
        <w:rPr>
          <w:rFonts w:ascii="Times New Roman" w:eastAsia="Calibri" w:hAnsi="Times New Roman" w:cs="Times New Roman"/>
          <w:b/>
          <w:color w:val="auto"/>
        </w:rPr>
        <w:t>Республика Армения</w:t>
      </w:r>
    </w:p>
    <w:p w14:paraId="4A7C5F13" w14:textId="7101B443" w:rsidR="0027749A" w:rsidRPr="003761A4" w:rsidRDefault="00AA68EC" w:rsidP="0027749A">
      <w:pPr>
        <w:ind w:right="-1"/>
        <w:rPr>
          <w:rFonts w:ascii="Times New Roman" w:eastAsia="Calibri" w:hAnsi="Times New Roman" w:cs="Times New Roman"/>
          <w:sz w:val="24"/>
          <w:szCs w:val="24"/>
        </w:rPr>
      </w:pPr>
      <w:r w:rsidRPr="003761A4">
        <w:rPr>
          <w:rFonts w:ascii="Times New Roman" w:eastAsia="Calibri" w:hAnsi="Times New Roman" w:cs="Times New Roman"/>
          <w:sz w:val="24"/>
          <w:szCs w:val="24"/>
        </w:rPr>
        <w:t xml:space="preserve">Банковская система в </w:t>
      </w:r>
      <w:r w:rsidR="0027749A" w:rsidRPr="003761A4">
        <w:rPr>
          <w:rFonts w:ascii="Times New Roman" w:eastAsia="Calibri" w:hAnsi="Times New Roman" w:cs="Times New Roman"/>
          <w:sz w:val="24"/>
          <w:szCs w:val="24"/>
        </w:rPr>
        <w:t>2022 году в условиях нарастающей неопределенности, вызванной геополитической ситуацией, финансовая система Республики Армения (далее - РА) обеспечила нормальное функционирование финансового посредничества. В течение года темпы роста кредитования банковской систем</w:t>
      </w:r>
      <w:r w:rsidR="008C151A" w:rsidRPr="003761A4">
        <w:rPr>
          <w:rFonts w:ascii="Times New Roman" w:eastAsia="Calibri" w:hAnsi="Times New Roman" w:cs="Times New Roman"/>
          <w:sz w:val="24"/>
          <w:szCs w:val="24"/>
        </w:rPr>
        <w:t>ы</w:t>
      </w:r>
      <w:r w:rsidR="0027749A" w:rsidRPr="003761A4">
        <w:rPr>
          <w:rFonts w:ascii="Times New Roman" w:eastAsia="Calibri" w:hAnsi="Times New Roman" w:cs="Times New Roman"/>
          <w:sz w:val="24"/>
          <w:szCs w:val="24"/>
        </w:rPr>
        <w:t xml:space="preserve"> в целом соответствовали росту доходов экономики. На кредитном рынке зафиксирован рост активности, который был заметен по всем направлениям кредитования. В условиях зафиксированного высокого экономического роста банковская система обеспечивала нормальный ход кредитования экономики, что было благоприятным с точки зрения смягчения долговой нагрузки предпринимателей и вытекающего из нее кредитного риска.</w:t>
      </w:r>
    </w:p>
    <w:p w14:paraId="20584913" w14:textId="77777777" w:rsidR="0027749A" w:rsidRPr="003761A4" w:rsidRDefault="0027749A" w:rsidP="0027749A">
      <w:pPr>
        <w:ind w:right="-1"/>
        <w:rPr>
          <w:rFonts w:ascii="Times New Roman" w:eastAsia="Calibri" w:hAnsi="Times New Roman" w:cs="Times New Roman"/>
          <w:sz w:val="24"/>
          <w:szCs w:val="24"/>
        </w:rPr>
      </w:pPr>
      <w:r w:rsidRPr="003761A4">
        <w:rPr>
          <w:rFonts w:ascii="Times New Roman" w:eastAsia="Calibri" w:hAnsi="Times New Roman" w:cs="Times New Roman"/>
          <w:sz w:val="24"/>
          <w:szCs w:val="24"/>
        </w:rPr>
        <w:t>В течение года были зафиксированы существенные улучшения основных показателей банковской системы. На фоне низкой рентабельности, зафиксированной в предыдущие годы, рентабельность банковской системы за рассматриваемый период значительно улучшилась. Рост прибыльности был в основном обусловлен ростом непроцентных доходов. Также зафиксирован рост показателей достаточности капитала и ликвидности системы, в результате чего значительно улучшилась способность банковской системы абсорбировать убытки.</w:t>
      </w:r>
    </w:p>
    <w:p w14:paraId="75F82A54" w14:textId="77777777" w:rsidR="0027749A" w:rsidRPr="003761A4" w:rsidRDefault="0027749A" w:rsidP="0027749A">
      <w:pPr>
        <w:ind w:right="-1"/>
        <w:rPr>
          <w:rFonts w:ascii="Times New Roman" w:eastAsia="Calibri" w:hAnsi="Times New Roman" w:cs="Times New Roman"/>
          <w:sz w:val="24"/>
          <w:szCs w:val="24"/>
        </w:rPr>
      </w:pPr>
      <w:r w:rsidRPr="003761A4">
        <w:rPr>
          <w:rFonts w:ascii="Times New Roman" w:eastAsia="Calibri" w:hAnsi="Times New Roman" w:cs="Times New Roman"/>
          <w:sz w:val="24"/>
          <w:szCs w:val="24"/>
        </w:rPr>
        <w:t xml:space="preserve">В последние годы высокие темпы роста ипотечных кредитов и рост цен на недвижимость дополняли друг друга, и как портфель ипотечных кредитов, так и цены на недвижимость демонстрировали высокие среднегодовые темпы роста. Данное обстоятельство является толчком к возможному наличию рисков перегрева на рынке недвижимости. В целях снижения накопления рисков с апреля 2022 г. действует </w:t>
      </w:r>
      <w:proofErr w:type="spellStart"/>
      <w:r w:rsidRPr="003761A4">
        <w:rPr>
          <w:rFonts w:ascii="Times New Roman" w:eastAsia="Calibri" w:hAnsi="Times New Roman" w:cs="Times New Roman"/>
          <w:sz w:val="24"/>
          <w:szCs w:val="24"/>
        </w:rPr>
        <w:t>макропруденциальный</w:t>
      </w:r>
      <w:proofErr w:type="spellEnd"/>
      <w:r w:rsidRPr="003761A4">
        <w:rPr>
          <w:rFonts w:ascii="Times New Roman" w:eastAsia="Calibri" w:hAnsi="Times New Roman" w:cs="Times New Roman"/>
          <w:sz w:val="24"/>
          <w:szCs w:val="24"/>
        </w:rPr>
        <w:t xml:space="preserve"> инструмент максимального предела отношения кредита к стоимости (</w:t>
      </w:r>
      <w:proofErr w:type="spellStart"/>
      <w:r w:rsidRPr="003761A4">
        <w:rPr>
          <w:rFonts w:ascii="Times New Roman" w:eastAsia="Calibri" w:hAnsi="Times New Roman" w:cs="Times New Roman"/>
          <w:sz w:val="24"/>
          <w:szCs w:val="24"/>
        </w:rPr>
        <w:t>loan-to-value</w:t>
      </w:r>
      <w:proofErr w:type="spellEnd"/>
      <w:r w:rsidRPr="003761A4">
        <w:rPr>
          <w:rFonts w:ascii="Times New Roman" w:eastAsia="Calibri" w:hAnsi="Times New Roman" w:cs="Times New Roman"/>
          <w:sz w:val="24"/>
          <w:szCs w:val="24"/>
        </w:rPr>
        <w:t>). Ставки по этому инструменту могут меняться в ответ на изменение прогноза рисков на ипотечном рынке.</w:t>
      </w:r>
    </w:p>
    <w:p w14:paraId="5AAB1BEE" w14:textId="22346A7D" w:rsidR="0027749A" w:rsidRPr="003761A4" w:rsidRDefault="0027749A" w:rsidP="0027749A">
      <w:pPr>
        <w:ind w:right="-1"/>
        <w:rPr>
          <w:rFonts w:ascii="Times New Roman" w:eastAsia="Calibri" w:hAnsi="Times New Roman" w:cs="Times New Roman"/>
          <w:sz w:val="24"/>
          <w:szCs w:val="24"/>
        </w:rPr>
      </w:pPr>
      <w:r w:rsidRPr="003761A4">
        <w:rPr>
          <w:rFonts w:ascii="Times New Roman" w:eastAsia="Calibri" w:hAnsi="Times New Roman" w:cs="Times New Roman"/>
          <w:sz w:val="24"/>
          <w:szCs w:val="24"/>
        </w:rPr>
        <w:t>В условиях нарастающей геополитической неопределенности, внутренней и внешней инфляционной среды, а также высоких процентных ставок высоко оцениваются риски, связанные с будущей экономической активностью</w:t>
      </w:r>
      <w:r w:rsidR="008C151A" w:rsidRPr="003761A4">
        <w:rPr>
          <w:rFonts w:ascii="Times New Roman" w:eastAsia="Calibri" w:hAnsi="Times New Roman" w:cs="Times New Roman"/>
          <w:sz w:val="24"/>
          <w:szCs w:val="24"/>
        </w:rPr>
        <w:t xml:space="preserve"> и</w:t>
      </w:r>
      <w:r w:rsidRPr="003761A4">
        <w:rPr>
          <w:rFonts w:ascii="Times New Roman" w:eastAsia="Calibri" w:hAnsi="Times New Roman" w:cs="Times New Roman"/>
          <w:sz w:val="24"/>
          <w:szCs w:val="24"/>
        </w:rPr>
        <w:t xml:space="preserve"> риски возможного увеличения долговой нагрузки экономики и материализации вытекающих из этого кредитных потерь. </w:t>
      </w:r>
    </w:p>
    <w:p w14:paraId="0C3CE2B2" w14:textId="77777777" w:rsidR="00B505C4" w:rsidRPr="003761A4" w:rsidRDefault="00B505C4" w:rsidP="00120677">
      <w:pPr>
        <w:contextualSpacing/>
        <w:rPr>
          <w:rFonts w:ascii="Times New Roman" w:eastAsia="Calibri" w:hAnsi="Times New Roman" w:cs="Times New Roman"/>
          <w:sz w:val="24"/>
          <w:szCs w:val="24"/>
        </w:rPr>
      </w:pPr>
    </w:p>
    <w:p w14:paraId="1A0CE248" w14:textId="38D6A2D1" w:rsidR="000E2855" w:rsidRPr="003761A4" w:rsidRDefault="000E2855" w:rsidP="00DB2F4B">
      <w:pPr>
        <w:pStyle w:val="3"/>
        <w:rPr>
          <w:rFonts w:ascii="Times New Roman" w:eastAsia="Calibri" w:hAnsi="Times New Roman" w:cs="Times New Roman"/>
          <w:b/>
          <w:color w:val="auto"/>
        </w:rPr>
      </w:pPr>
      <w:r w:rsidRPr="003761A4">
        <w:rPr>
          <w:rFonts w:ascii="Times New Roman" w:eastAsia="Calibri" w:hAnsi="Times New Roman" w:cs="Times New Roman"/>
          <w:b/>
          <w:color w:val="auto"/>
        </w:rPr>
        <w:t>Республика Белар</w:t>
      </w:r>
      <w:r w:rsidR="00C83D7E" w:rsidRPr="003761A4">
        <w:rPr>
          <w:rFonts w:ascii="Times New Roman" w:eastAsia="Calibri" w:hAnsi="Times New Roman" w:cs="Times New Roman"/>
          <w:b/>
          <w:color w:val="auto"/>
        </w:rPr>
        <w:t>усь</w:t>
      </w:r>
    </w:p>
    <w:p w14:paraId="236F0FE0" w14:textId="16D47E92" w:rsidR="000E2855" w:rsidRPr="003761A4" w:rsidRDefault="000E2855" w:rsidP="000E285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 xml:space="preserve">На 1 января 2023 г. банковскую деятельность в Республике Беларусь осуществляли 21 банк и 4 небанковские кредитно-финансовые организации. В 2022 году осуществлена реорганизация закрытого акционерного </w:t>
      </w:r>
      <w:proofErr w:type="gramStart"/>
      <w:r w:rsidRPr="003761A4">
        <w:rPr>
          <w:rFonts w:ascii="Times New Roman" w:eastAsia="Calibri" w:hAnsi="Times New Roman" w:cs="Times New Roman"/>
          <w:sz w:val="24"/>
          <w:szCs w:val="24"/>
        </w:rPr>
        <w:t>общества ”Альфа</w:t>
      </w:r>
      <w:proofErr w:type="gramEnd"/>
      <w:r w:rsidRPr="003761A4">
        <w:rPr>
          <w:rFonts w:ascii="Times New Roman" w:eastAsia="Calibri" w:hAnsi="Times New Roman" w:cs="Times New Roman"/>
          <w:sz w:val="24"/>
          <w:szCs w:val="24"/>
        </w:rPr>
        <w:t>-Банк“ в форме присоединения к нему ”</w:t>
      </w:r>
      <w:proofErr w:type="spellStart"/>
      <w:r w:rsidRPr="003761A4">
        <w:rPr>
          <w:rFonts w:ascii="Times New Roman" w:eastAsia="Calibri" w:hAnsi="Times New Roman" w:cs="Times New Roman"/>
          <w:sz w:val="24"/>
          <w:szCs w:val="24"/>
        </w:rPr>
        <w:t>Франсабанк</w:t>
      </w:r>
      <w:proofErr w:type="spellEnd"/>
      <w:r w:rsidRPr="003761A4">
        <w:rPr>
          <w:rFonts w:ascii="Times New Roman" w:eastAsia="Calibri" w:hAnsi="Times New Roman" w:cs="Times New Roman"/>
          <w:sz w:val="24"/>
          <w:szCs w:val="24"/>
        </w:rPr>
        <w:t xml:space="preserve">“ открытого акционерного  общества. Закрытое акционерное </w:t>
      </w:r>
      <w:proofErr w:type="gramStart"/>
      <w:r w:rsidRPr="003761A4">
        <w:rPr>
          <w:rFonts w:ascii="Times New Roman" w:eastAsia="Calibri" w:hAnsi="Times New Roman" w:cs="Times New Roman"/>
          <w:sz w:val="24"/>
          <w:szCs w:val="24"/>
        </w:rPr>
        <w:t>общество ”АБСОЛЮТБАНК</w:t>
      </w:r>
      <w:proofErr w:type="gramEnd"/>
      <w:r w:rsidRPr="003761A4">
        <w:rPr>
          <w:rFonts w:ascii="Times New Roman" w:eastAsia="Calibri" w:hAnsi="Times New Roman" w:cs="Times New Roman"/>
          <w:sz w:val="24"/>
          <w:szCs w:val="24"/>
        </w:rPr>
        <w:t>“ сменило юридический статус банка на небанковскую кредитно-финансовую организацию и действует с наименованием закрытое акционерное общество ”</w:t>
      </w:r>
      <w:proofErr w:type="spellStart"/>
      <w:r w:rsidRPr="003761A4">
        <w:rPr>
          <w:rFonts w:ascii="Times New Roman" w:eastAsia="Calibri" w:hAnsi="Times New Roman" w:cs="Times New Roman"/>
          <w:sz w:val="24"/>
          <w:szCs w:val="24"/>
        </w:rPr>
        <w:t>ОптиКурс</w:t>
      </w:r>
      <w:proofErr w:type="spellEnd"/>
      <w:r w:rsidRPr="003761A4">
        <w:rPr>
          <w:rFonts w:ascii="Times New Roman" w:eastAsia="Calibri" w:hAnsi="Times New Roman" w:cs="Times New Roman"/>
          <w:sz w:val="24"/>
          <w:szCs w:val="24"/>
        </w:rPr>
        <w:t xml:space="preserve">“ НКФО“. Также в 2022 году исключено из Единого государственного регистра юридических лиц и индивидуальных предпринимателей закрытое акционерное </w:t>
      </w:r>
      <w:proofErr w:type="gramStart"/>
      <w:r w:rsidRPr="003761A4">
        <w:rPr>
          <w:rFonts w:ascii="Times New Roman" w:eastAsia="Calibri" w:hAnsi="Times New Roman" w:cs="Times New Roman"/>
          <w:sz w:val="24"/>
          <w:szCs w:val="24"/>
        </w:rPr>
        <w:t>общество ”Банк</w:t>
      </w:r>
      <w:proofErr w:type="gramEnd"/>
      <w:r w:rsidRPr="003761A4">
        <w:rPr>
          <w:rFonts w:ascii="Times New Roman" w:eastAsia="Calibri" w:hAnsi="Times New Roman" w:cs="Times New Roman"/>
          <w:sz w:val="24"/>
          <w:szCs w:val="24"/>
        </w:rPr>
        <w:t xml:space="preserve"> Инвестиционных Технологий“. На 1 января 202</w:t>
      </w:r>
      <w:r w:rsidR="005158F9" w:rsidRPr="003761A4">
        <w:rPr>
          <w:rFonts w:ascii="Times New Roman" w:eastAsia="Calibri" w:hAnsi="Times New Roman" w:cs="Times New Roman"/>
          <w:sz w:val="24"/>
          <w:szCs w:val="24"/>
        </w:rPr>
        <w:t>3</w:t>
      </w:r>
      <w:r w:rsidRPr="003761A4">
        <w:rPr>
          <w:rFonts w:ascii="Times New Roman" w:eastAsia="Calibri" w:hAnsi="Times New Roman" w:cs="Times New Roman"/>
          <w:sz w:val="24"/>
          <w:szCs w:val="24"/>
        </w:rPr>
        <w:t xml:space="preserve"> г. в процессе ликвидации находился 1 банк: закрытое акционерное </w:t>
      </w:r>
      <w:proofErr w:type="gramStart"/>
      <w:r w:rsidRPr="003761A4">
        <w:rPr>
          <w:rFonts w:ascii="Times New Roman" w:eastAsia="Calibri" w:hAnsi="Times New Roman" w:cs="Times New Roman"/>
          <w:sz w:val="24"/>
          <w:szCs w:val="24"/>
        </w:rPr>
        <w:t>общество  ”</w:t>
      </w:r>
      <w:proofErr w:type="gramEnd"/>
      <w:r w:rsidRPr="003761A4">
        <w:rPr>
          <w:rFonts w:ascii="Times New Roman" w:eastAsia="Calibri" w:hAnsi="Times New Roman" w:cs="Times New Roman"/>
          <w:sz w:val="24"/>
          <w:szCs w:val="24"/>
        </w:rPr>
        <w:t>Дельта Банк“ (процедура банкротства).</w:t>
      </w:r>
    </w:p>
    <w:p w14:paraId="76C0D020" w14:textId="77777777" w:rsidR="000E2855" w:rsidRPr="003761A4" w:rsidRDefault="000E2855" w:rsidP="000E285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Иностранный капитал присутствовал в уставных фондах 16 банков. При этом в 14 банках доля участия иностранных инвесторов в уставном фонде превышала 50 процентов (в 3 банках она составляла 100 процентов). В уставных фондах белорусских банков участвовал капитал из Российской Федерации, Республики Кипр, Австрийской Республики, Исламской Республики Иран, Швейцарской Конфедерации, Республики Казахстан, Объединенных Арабских Эмиратов, Грузии, Соединенного Королевства Великобритании и Северной Ирландии, Федеративной Республики Германия и других стран.</w:t>
      </w:r>
    </w:p>
    <w:p w14:paraId="5DFD4DF7" w14:textId="77777777" w:rsidR="000E2855" w:rsidRPr="003761A4" w:rsidRDefault="000E2855" w:rsidP="000E285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Совокупный зарегистрированный уставный фонд банков на 1 января 2023 г. составил 9,1 млрд. рублей, увеличившись за 2022 год на 38,0 процента.</w:t>
      </w:r>
    </w:p>
    <w:p w14:paraId="59A4DDC3" w14:textId="77777777" w:rsidR="000E2855" w:rsidRPr="003761A4" w:rsidRDefault="000E2855" w:rsidP="000E285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Несмотря на усиливающееся влияние негативных факторов на экономику и расширение международных санкций в отношении Республики Беларусь банковский сектор сохранил устойчивость и демонстрировал рост эффективности по сравнению с 2021 годом.</w:t>
      </w:r>
    </w:p>
    <w:p w14:paraId="24DC644C" w14:textId="7C244034" w:rsidR="000E2855" w:rsidRPr="003761A4" w:rsidRDefault="000E2855" w:rsidP="000E285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 xml:space="preserve">Размер нормативного </w:t>
      </w:r>
      <w:r w:rsidR="0057024B" w:rsidRPr="003761A4">
        <w:rPr>
          <w:rFonts w:ascii="Times New Roman" w:eastAsia="Calibri" w:hAnsi="Times New Roman" w:cs="Times New Roman"/>
          <w:sz w:val="24"/>
          <w:szCs w:val="24"/>
        </w:rPr>
        <w:t>капитала банков</w:t>
      </w:r>
      <w:r w:rsidR="00F76FAB" w:rsidRPr="003761A4">
        <w:rPr>
          <w:rStyle w:val="a8"/>
        </w:rPr>
        <w:footnoteReference w:id="1"/>
      </w:r>
      <w:r w:rsidR="00F76FAB" w:rsidRPr="003761A4">
        <w:t xml:space="preserve"> </w:t>
      </w:r>
      <w:r w:rsidRPr="003761A4">
        <w:rPr>
          <w:rFonts w:ascii="Times New Roman" w:eastAsia="Calibri" w:hAnsi="Times New Roman" w:cs="Times New Roman"/>
          <w:sz w:val="24"/>
          <w:szCs w:val="24"/>
        </w:rPr>
        <w:t xml:space="preserve"> на 1 января 2023 г. составил 17,5 млрд. рублей, увеличившись за 2022 год на 25,7 процента. Основным источником роста нормативного капитала по банковскому сектору являлось увеличение зарегистрированного уставного фонда и фондов, сформированных за счет прибыли банков. Отношение нормативного капитала к ВВП сложилось на уровне 9,1 процента.</w:t>
      </w:r>
    </w:p>
    <w:p w14:paraId="36008503" w14:textId="77777777" w:rsidR="000E2855" w:rsidRPr="003761A4" w:rsidRDefault="000E2855" w:rsidP="000E285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По итогам работы за 2022 год совокупная прибыль действующих банков составила 2,1 млрд. рублей, что на 57,6 процента выше прибыли за 2021 год (1,3 млрд. рублей). Росту прибыли способствовало увеличение чистого процентного дохода и чистого прочего банковского дохода. Объем чистого процентного дохода в 2022 году увеличился на 30 процентов или на 898,5 млн. рублей. Чистый прочий банковский доход в 2022 году по сравнению с 2021 годом увеличился в 3,2 раза или на 1,2 млрд. рублей.</w:t>
      </w:r>
    </w:p>
    <w:p w14:paraId="4CFB8FEB" w14:textId="77777777" w:rsidR="000E2855" w:rsidRPr="003761A4" w:rsidRDefault="000E2855" w:rsidP="000E285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С увеличением полученной банками прибыли произошло увеличение значений показателей эффективности их деятельности. Так, в годовом исчислении рентабельность активов повысилась с 1,4 до 2 процентов, рентабельность нормативного капитала – с 10 до 13,2 процента.</w:t>
      </w:r>
    </w:p>
    <w:p w14:paraId="69CCFD51" w14:textId="77777777" w:rsidR="000E2855" w:rsidRPr="003761A4" w:rsidRDefault="000E2855" w:rsidP="000E285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В течение 2022 года наблюдался рост активов банковского сектора, подверженных кредитному риску, величина которых на 1 января 2023 г. составила 78,5 млрд. рублей (на 1 января 2022 г. – 76,0 млрд. рублей).</w:t>
      </w:r>
    </w:p>
    <w:p w14:paraId="781EE92F" w14:textId="77777777" w:rsidR="000E2855" w:rsidRPr="003761A4" w:rsidRDefault="000E2855" w:rsidP="000E285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Доля необслуживаемых активов в банках на 1 января 2023 г. составила 4,9 процента (на 1 января 2022 г. – 5,3 процента), при этом объем необслуживаемых активов сложился на уровне 3,9 млрд. рублей, уменьшившись за 2022 год на 172,2 млн. рублей, или на 4,3 процента. Объем реструктуризированной задолженности (по IV-VI группам риска) составил 83 процента от размера необслуживаемых активов.</w:t>
      </w:r>
    </w:p>
    <w:p w14:paraId="54E4AB55" w14:textId="77777777" w:rsidR="000E2855" w:rsidRPr="003761A4" w:rsidRDefault="000E2855" w:rsidP="000E285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Степень покрытия специальными резервами активов, подверженных кредитному риску, увеличилась: с 6,9 процента на 1 января 2022 г. до 7 процентов на 1 января 2023 г. Полнота формирования специальных резервов в целом по действующим банкам составила 100 процентов.</w:t>
      </w:r>
    </w:p>
    <w:p w14:paraId="638DAE13" w14:textId="77777777" w:rsidR="000E2855" w:rsidRPr="003761A4" w:rsidRDefault="000E2855" w:rsidP="000E285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Банками соблюдались требования Национального банка по достаточности нормативного капитала, в том числе с учетом значений консервационного буфера. Значение достаточности нормативного капитала на 1 января 2023 г. составило 21 процент при установленном минимальном значении для отдельного банка 10 процентов (12,5 процента с учетом консервационного буфера).</w:t>
      </w:r>
    </w:p>
    <w:p w14:paraId="7FB73D3C" w14:textId="4D5BF2B5" w:rsidR="000E2855" w:rsidRPr="003761A4" w:rsidRDefault="000E2855" w:rsidP="000E285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Банками соблюдены нормативы безопасного функционирования в части ликвидности. Величина покрытия ликвидности в целом по действующим банкам на 1 января 2023 г. составила 180,6 процента при установленном нормативе не менее 100 процентов.</w:t>
      </w:r>
    </w:p>
    <w:p w14:paraId="075754E3" w14:textId="7FC5C4C7" w:rsidR="000E2855" w:rsidRPr="003761A4" w:rsidRDefault="000E2855" w:rsidP="000E2855">
      <w:pPr>
        <w:spacing w:after="240"/>
        <w:contextualSpacing/>
        <w:rPr>
          <w:rFonts w:ascii="Times New Roman" w:eastAsia="Calibri" w:hAnsi="Times New Roman" w:cs="Times New Roman"/>
          <w:sz w:val="24"/>
          <w:szCs w:val="24"/>
        </w:rPr>
      </w:pPr>
      <w:proofErr w:type="spellStart"/>
      <w:r w:rsidRPr="003761A4">
        <w:rPr>
          <w:rFonts w:ascii="Times New Roman" w:eastAsia="Calibri" w:hAnsi="Times New Roman" w:cs="Times New Roman"/>
          <w:b/>
          <w:sz w:val="24"/>
          <w:szCs w:val="24"/>
        </w:rPr>
        <w:t>Справочно</w:t>
      </w:r>
      <w:proofErr w:type="spellEnd"/>
      <w:r w:rsidRPr="003761A4">
        <w:rPr>
          <w:rFonts w:ascii="Times New Roman" w:eastAsia="Calibri" w:hAnsi="Times New Roman" w:cs="Times New Roman"/>
          <w:b/>
          <w:sz w:val="24"/>
          <w:szCs w:val="24"/>
        </w:rPr>
        <w:t>:</w:t>
      </w:r>
      <w:r w:rsidR="002B0D70" w:rsidRPr="003761A4">
        <w:rPr>
          <w:rFonts w:ascii="Times New Roman" w:eastAsia="Calibri" w:hAnsi="Times New Roman" w:cs="Times New Roman"/>
          <w:b/>
          <w:sz w:val="24"/>
          <w:szCs w:val="24"/>
        </w:rPr>
        <w:t xml:space="preserve"> </w:t>
      </w:r>
      <w:r w:rsidRPr="003761A4">
        <w:rPr>
          <w:rFonts w:ascii="Times New Roman" w:eastAsia="Calibri" w:hAnsi="Times New Roman" w:cs="Times New Roman"/>
          <w:sz w:val="24"/>
          <w:szCs w:val="24"/>
        </w:rPr>
        <w:t xml:space="preserve">В рамках </w:t>
      </w:r>
      <w:proofErr w:type="spellStart"/>
      <w:r w:rsidRPr="003761A4">
        <w:rPr>
          <w:rFonts w:ascii="Times New Roman" w:eastAsia="Calibri" w:hAnsi="Times New Roman" w:cs="Times New Roman"/>
          <w:sz w:val="24"/>
          <w:szCs w:val="24"/>
        </w:rPr>
        <w:t>контрциклических</w:t>
      </w:r>
      <w:proofErr w:type="spellEnd"/>
      <w:r w:rsidRPr="003761A4">
        <w:rPr>
          <w:rFonts w:ascii="Times New Roman" w:eastAsia="Calibri" w:hAnsi="Times New Roman" w:cs="Times New Roman"/>
          <w:sz w:val="24"/>
          <w:szCs w:val="24"/>
        </w:rPr>
        <w:t xml:space="preserve"> мер банкам предоставлено право с 21 марта 2022 г. по 31 декабря 2023 г. применять значение норматива </w:t>
      </w:r>
      <w:r w:rsidRPr="003761A4">
        <w:rPr>
          <w:rFonts w:ascii="Times New Roman" w:eastAsia="Calibri" w:hAnsi="Times New Roman" w:cs="Times New Roman"/>
          <w:sz w:val="24"/>
          <w:szCs w:val="24"/>
        </w:rPr>
        <w:tab/>
        <w:t>покрытия ликвидности в размере не менее 80 процентов.</w:t>
      </w:r>
    </w:p>
    <w:p w14:paraId="0F9F6F68" w14:textId="77777777" w:rsidR="00F76FAB" w:rsidRPr="003761A4" w:rsidRDefault="00F76FAB" w:rsidP="00F76FAB">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Величина чистого стабильного фондирования в целом по действующим банкам на 1 января 2023 г. составляла 137,6 процента при установленном нормативе не менее 100 процентов.</w:t>
      </w:r>
    </w:p>
    <w:p w14:paraId="309A5860" w14:textId="77777777" w:rsidR="000E2855" w:rsidRPr="003761A4" w:rsidRDefault="000E2855" w:rsidP="00920CA3">
      <w:pPr>
        <w:contextualSpacing/>
        <w:rPr>
          <w:rFonts w:ascii="Times New Roman" w:eastAsia="Calibri" w:hAnsi="Times New Roman" w:cs="Times New Roman"/>
          <w:sz w:val="24"/>
          <w:szCs w:val="24"/>
        </w:rPr>
      </w:pPr>
    </w:p>
    <w:p w14:paraId="35404703" w14:textId="7A166022" w:rsidR="00AF6E0E" w:rsidRPr="003761A4" w:rsidRDefault="00C83D7E" w:rsidP="00DB2F4B">
      <w:pPr>
        <w:pStyle w:val="3"/>
        <w:rPr>
          <w:rFonts w:ascii="Times New Roman" w:eastAsia="Calibri" w:hAnsi="Times New Roman" w:cs="Times New Roman"/>
          <w:b/>
          <w:color w:val="auto"/>
        </w:rPr>
      </w:pPr>
      <w:r w:rsidRPr="003761A4">
        <w:rPr>
          <w:rFonts w:ascii="Times New Roman" w:eastAsia="Calibri" w:hAnsi="Times New Roman" w:cs="Times New Roman"/>
          <w:b/>
          <w:color w:val="auto"/>
        </w:rPr>
        <w:t>Республика Казахстан</w:t>
      </w:r>
    </w:p>
    <w:p w14:paraId="2A4D6FD5" w14:textId="77777777" w:rsidR="006319B3" w:rsidRPr="003761A4" w:rsidRDefault="006319B3" w:rsidP="006319B3">
      <w:pPr>
        <w:spacing w:after="240"/>
        <w:contextualSpacing/>
        <w:rPr>
          <w:rFonts w:ascii="Times New Roman" w:hAnsi="Times New Roman"/>
          <w:sz w:val="24"/>
          <w:szCs w:val="24"/>
          <w:lang w:val="ky-KG"/>
        </w:rPr>
      </w:pPr>
      <w:r w:rsidRPr="003761A4">
        <w:rPr>
          <w:rFonts w:ascii="Times New Roman" w:hAnsi="Times New Roman"/>
          <w:sz w:val="24"/>
          <w:szCs w:val="24"/>
          <w:lang w:val="ky-KG"/>
        </w:rPr>
        <w:t xml:space="preserve">В целях определения потенциальных рисков банковского сектора Агентством Республики Казахстан по регулированию и развитию финансового рынка (далее – Агентство) на ежегодной основе осуществляется оценка качества активов (AQR) и надзорное стресс-тестирование (НСТ). </w:t>
      </w:r>
    </w:p>
    <w:p w14:paraId="77C80CD3" w14:textId="77777777" w:rsidR="006319B3" w:rsidRPr="003761A4" w:rsidRDefault="006319B3" w:rsidP="006319B3">
      <w:pPr>
        <w:spacing w:after="240"/>
        <w:contextualSpacing/>
        <w:rPr>
          <w:rFonts w:ascii="Times New Roman" w:hAnsi="Times New Roman"/>
          <w:sz w:val="24"/>
          <w:szCs w:val="24"/>
          <w:lang w:val="ky-KG"/>
        </w:rPr>
      </w:pPr>
      <w:r w:rsidRPr="003761A4">
        <w:rPr>
          <w:rFonts w:ascii="Times New Roman" w:hAnsi="Times New Roman"/>
          <w:sz w:val="24"/>
          <w:szCs w:val="24"/>
          <w:lang w:val="ky-KG"/>
        </w:rPr>
        <w:t>Регулярный AQR нацелен на оценку реального качества активов банков, уровня неработающих активов и ожидаемых кредитных убытков по кредитному портфелю, а НСТ на оценку подверженности банков потенциальным рискам в стрессовых сценариях. Результаты AQR, в том числе коэффициент достаточности капитала используются в качестве стартовой точки для НСТ.</w:t>
      </w:r>
    </w:p>
    <w:p w14:paraId="50A101AC" w14:textId="77777777" w:rsidR="006319B3" w:rsidRPr="003761A4" w:rsidRDefault="006319B3" w:rsidP="006319B3">
      <w:pPr>
        <w:spacing w:after="240"/>
        <w:contextualSpacing/>
        <w:rPr>
          <w:rFonts w:ascii="Times New Roman" w:hAnsi="Times New Roman"/>
          <w:sz w:val="24"/>
          <w:szCs w:val="24"/>
          <w:lang w:val="ky-KG"/>
        </w:rPr>
      </w:pPr>
      <w:r w:rsidRPr="003761A4">
        <w:rPr>
          <w:rFonts w:ascii="Times New Roman" w:hAnsi="Times New Roman"/>
          <w:sz w:val="24"/>
          <w:szCs w:val="24"/>
          <w:lang w:val="ky-KG"/>
        </w:rPr>
        <w:t>Инструментарий регулярного AQR и НСТ позволяет Агентству своевременно выявлять риски банков и применять меры, направленные на стимулирование банков оперативно их минимизировать.</w:t>
      </w:r>
    </w:p>
    <w:p w14:paraId="4BCA099C" w14:textId="77777777" w:rsidR="006319B3" w:rsidRPr="003761A4" w:rsidRDefault="006319B3" w:rsidP="006319B3">
      <w:pPr>
        <w:spacing w:after="240"/>
        <w:contextualSpacing/>
        <w:rPr>
          <w:rFonts w:ascii="Times New Roman" w:hAnsi="Times New Roman"/>
          <w:sz w:val="24"/>
          <w:szCs w:val="24"/>
          <w:lang w:val="ky-KG"/>
        </w:rPr>
      </w:pPr>
      <w:r w:rsidRPr="003761A4">
        <w:rPr>
          <w:rFonts w:ascii="Times New Roman" w:hAnsi="Times New Roman"/>
          <w:sz w:val="24"/>
          <w:szCs w:val="24"/>
          <w:lang w:val="ky-KG"/>
        </w:rPr>
        <w:t xml:space="preserve">AQR и НСТ 2022 года были проведены по 10 крупнейшим банкам, активы которых составляют 71% от активов банковского сектора. </w:t>
      </w:r>
    </w:p>
    <w:p w14:paraId="20DF959E" w14:textId="77777777" w:rsidR="006319B3" w:rsidRPr="003761A4" w:rsidRDefault="006319B3" w:rsidP="006319B3">
      <w:pPr>
        <w:spacing w:after="240"/>
        <w:contextualSpacing/>
        <w:rPr>
          <w:rFonts w:ascii="Times New Roman" w:hAnsi="Times New Roman"/>
          <w:sz w:val="24"/>
          <w:szCs w:val="24"/>
          <w:lang w:val="ky-KG"/>
        </w:rPr>
      </w:pPr>
      <w:r w:rsidRPr="003761A4">
        <w:rPr>
          <w:rFonts w:ascii="Times New Roman" w:hAnsi="Times New Roman"/>
          <w:sz w:val="24"/>
          <w:szCs w:val="24"/>
          <w:lang w:val="ky-KG"/>
        </w:rPr>
        <w:t>По результатам AQR оценочное значение коэффициента достаточности собственного капитала банков-участников (k1) было снижено с 17,6% до 15,9%, а по результатам НСТ с 15,9% до 13,2% на конец 2023 года, что существенно выше нормативного пруденциального значения (7,5%).</w:t>
      </w:r>
    </w:p>
    <w:p w14:paraId="3C7B901C" w14:textId="77777777" w:rsidR="006319B3" w:rsidRPr="003761A4" w:rsidRDefault="006319B3" w:rsidP="006319B3">
      <w:pPr>
        <w:spacing w:after="240"/>
        <w:contextualSpacing/>
        <w:rPr>
          <w:rFonts w:ascii="Times New Roman" w:hAnsi="Times New Roman"/>
          <w:sz w:val="24"/>
          <w:szCs w:val="24"/>
          <w:lang w:val="ky-KG"/>
        </w:rPr>
      </w:pPr>
      <w:r w:rsidRPr="003761A4">
        <w:rPr>
          <w:rFonts w:ascii="Times New Roman" w:hAnsi="Times New Roman"/>
          <w:sz w:val="24"/>
          <w:szCs w:val="24"/>
          <w:lang w:val="ky-KG"/>
        </w:rPr>
        <w:t>Таким образом, достаточность капитала банков-участников в стрессовом сценарии осталась на приемлемом уровне.</w:t>
      </w:r>
    </w:p>
    <w:p w14:paraId="6B546779" w14:textId="77777777" w:rsidR="006319B3" w:rsidRPr="003761A4" w:rsidRDefault="006319B3" w:rsidP="006319B3">
      <w:pPr>
        <w:spacing w:after="240"/>
        <w:contextualSpacing/>
        <w:rPr>
          <w:rFonts w:ascii="Times New Roman" w:hAnsi="Times New Roman"/>
          <w:sz w:val="24"/>
          <w:szCs w:val="24"/>
          <w:lang w:val="ky-KG"/>
        </w:rPr>
      </w:pPr>
      <w:r w:rsidRPr="003761A4">
        <w:rPr>
          <w:rFonts w:ascii="Times New Roman" w:hAnsi="Times New Roman"/>
          <w:sz w:val="24"/>
          <w:szCs w:val="24"/>
          <w:lang w:val="ky-KG"/>
        </w:rPr>
        <w:t>В течение 2023 года Агентство продолжит реализацию AQR и НСТ по расширенному списку банков. С конца февраля 2023 года Агентством проводится очередной регулярный AQR по крупным банкам с покрытием 84% активов и 85% ссудного портфеля банковского сектора и начиная с сентября т. г. после получения результатов AQR планируется проведение НСТ до конца 2023 года.</w:t>
      </w:r>
    </w:p>
    <w:p w14:paraId="20127CFA" w14:textId="77777777" w:rsidR="006319B3" w:rsidRPr="003761A4" w:rsidRDefault="006319B3" w:rsidP="006319B3">
      <w:pPr>
        <w:spacing w:after="240"/>
        <w:contextualSpacing/>
        <w:rPr>
          <w:rFonts w:ascii="Times New Roman" w:hAnsi="Times New Roman"/>
          <w:sz w:val="24"/>
          <w:szCs w:val="24"/>
          <w:lang w:val="ky-KG"/>
        </w:rPr>
      </w:pPr>
      <w:r w:rsidRPr="003761A4">
        <w:rPr>
          <w:rFonts w:ascii="Times New Roman" w:hAnsi="Times New Roman"/>
          <w:sz w:val="24"/>
          <w:szCs w:val="24"/>
          <w:lang w:val="ky-KG"/>
        </w:rPr>
        <w:t>В дополнение в течение 2022 года Агентством реализованы законодательные изменения для развития рынка стрессовых активов и увеличению их привлекательности для инвесторов. В 2023 году одним из важных приоритетов Агентства является создание законодательной базы для функционирования цифровых платформ, удовлетворяющим единым требованиям. На законодательном уровне будут установлены положения по обязательной продаже стрессовых активов на цифровой платформе и наделения Агентства полномочиями по установлению единых требований к цифровым платформам.</w:t>
      </w:r>
    </w:p>
    <w:p w14:paraId="00514B94" w14:textId="75A92C62" w:rsidR="006319B3" w:rsidRPr="003761A4" w:rsidRDefault="006319B3" w:rsidP="006319B3">
      <w:pPr>
        <w:spacing w:after="240"/>
        <w:contextualSpacing/>
        <w:rPr>
          <w:rFonts w:ascii="Times New Roman" w:hAnsi="Times New Roman"/>
          <w:sz w:val="24"/>
          <w:szCs w:val="24"/>
          <w:lang w:val="ky-KG"/>
        </w:rPr>
      </w:pPr>
      <w:r w:rsidRPr="003761A4">
        <w:rPr>
          <w:rFonts w:ascii="Times New Roman" w:hAnsi="Times New Roman"/>
          <w:sz w:val="24"/>
          <w:szCs w:val="24"/>
          <w:lang w:val="ky-KG"/>
        </w:rPr>
        <w:t>Агентством с 2021 года ежегодно на официальной интернет-ресурсе Агентства публикуются Основные приоритеты надзорной политики банковского сектора</w:t>
      </w:r>
      <w:r w:rsidR="00AE4E6B" w:rsidRPr="003761A4">
        <w:rPr>
          <w:rStyle w:val="a8"/>
          <w:rFonts w:ascii="Times New Roman" w:hAnsi="Times New Roman"/>
          <w:sz w:val="24"/>
          <w:szCs w:val="24"/>
          <w:lang w:val="ky-KG"/>
        </w:rPr>
        <w:footnoteReference w:id="2"/>
      </w:r>
      <w:r w:rsidRPr="003761A4">
        <w:rPr>
          <w:rFonts w:ascii="Times New Roman" w:hAnsi="Times New Roman"/>
          <w:sz w:val="24"/>
          <w:szCs w:val="24"/>
          <w:lang w:val="ky-KG"/>
        </w:rPr>
        <w:t>, которые также предусматривают ключевые вызовы и направления развития банковского сектора на предстоящий год. Основные приоритеты надзорной политики банковского сектора на 2023 год опубликованы в марте текущего года.</w:t>
      </w:r>
    </w:p>
    <w:p w14:paraId="49CD2E8D" w14:textId="77777777" w:rsidR="006319B3" w:rsidRPr="003761A4" w:rsidRDefault="006319B3" w:rsidP="006319B3">
      <w:pPr>
        <w:spacing w:after="240"/>
        <w:contextualSpacing/>
        <w:rPr>
          <w:rFonts w:ascii="Times New Roman" w:hAnsi="Times New Roman"/>
          <w:sz w:val="24"/>
          <w:szCs w:val="24"/>
          <w:lang w:val="ky-KG"/>
        </w:rPr>
      </w:pPr>
      <w:r w:rsidRPr="003761A4">
        <w:rPr>
          <w:rFonts w:ascii="Times New Roman" w:hAnsi="Times New Roman"/>
          <w:sz w:val="24"/>
          <w:szCs w:val="24"/>
          <w:lang w:val="ky-KG"/>
        </w:rPr>
        <w:t>По состоянию на 01.01.2023 года банковский сектор Республики Казахстан представлен 21 банком второго уровня, из которых 12 банков с иностранным участием.</w:t>
      </w:r>
    </w:p>
    <w:p w14:paraId="5F7FC37E" w14:textId="77777777" w:rsidR="006319B3" w:rsidRPr="003761A4" w:rsidRDefault="006319B3" w:rsidP="006319B3">
      <w:pPr>
        <w:spacing w:after="240"/>
        <w:contextualSpacing/>
        <w:rPr>
          <w:rFonts w:ascii="Times New Roman" w:hAnsi="Times New Roman"/>
          <w:sz w:val="24"/>
          <w:szCs w:val="24"/>
          <w:lang w:val="ky-KG"/>
        </w:rPr>
      </w:pPr>
      <w:r w:rsidRPr="003761A4">
        <w:rPr>
          <w:rFonts w:ascii="Times New Roman" w:hAnsi="Times New Roman"/>
          <w:sz w:val="24"/>
          <w:szCs w:val="24"/>
          <w:lang w:val="ky-KG"/>
        </w:rPr>
        <w:t>Введение санкций в отношении крупнейших российских банков значительно осложнило операции их дочерних банков, действовавших в Казахстане на начало 2022 года (ДБ АО «Альфа банк», АО ДО «ВТБ Банк», ДБ АО «Сбербанк Казахстана»). Дочерние организации российских банков столкнулись со значительным сокращением активов и оттоком депозитов, сокращением клиентской базы, что привело к необходимости продажи их активов инвесторам. Своевременно предпринятые мероприятия позволили купировать негативные последствия введенных санкций в отношении российских банков на банковский сектор Казахстана. В результате 2 банка в последующем были исключены из Санкционного списка лиц особых категорий (SDN) и из Секторального санкционного списка (SSI) в связи со сменой акционеров и названий банков.</w:t>
      </w:r>
    </w:p>
    <w:p w14:paraId="437BB30E" w14:textId="77777777" w:rsidR="006319B3" w:rsidRPr="003761A4" w:rsidRDefault="006319B3" w:rsidP="006319B3">
      <w:pPr>
        <w:spacing w:after="240"/>
        <w:contextualSpacing/>
        <w:rPr>
          <w:rFonts w:ascii="Times New Roman" w:hAnsi="Times New Roman"/>
          <w:sz w:val="24"/>
          <w:szCs w:val="24"/>
          <w:lang w:val="ky-KG"/>
        </w:rPr>
      </w:pPr>
      <w:r w:rsidRPr="003761A4">
        <w:rPr>
          <w:rFonts w:ascii="Times New Roman" w:hAnsi="Times New Roman"/>
          <w:sz w:val="24"/>
          <w:szCs w:val="24"/>
          <w:lang w:val="ky-KG"/>
        </w:rPr>
        <w:t>С начала 2022 года совокупные активы банковского сектора за год выросли на 18,4% (6 939,5 млрд. тенге или 15 млрд. USD  ) и на начало января 2023 года составили 44 561,6 млрд. тенге (96,3 млрд. USD). Рост активов банковского сектора в основном обусловлен ростом кредитного портфеля.</w:t>
      </w:r>
    </w:p>
    <w:p w14:paraId="7B910AB5" w14:textId="77777777" w:rsidR="006319B3" w:rsidRPr="003761A4" w:rsidRDefault="006319B3" w:rsidP="006319B3">
      <w:pPr>
        <w:spacing w:after="240"/>
        <w:contextualSpacing/>
        <w:rPr>
          <w:rFonts w:ascii="Times New Roman" w:hAnsi="Times New Roman"/>
          <w:sz w:val="24"/>
          <w:szCs w:val="24"/>
          <w:lang w:val="ky-KG"/>
        </w:rPr>
      </w:pPr>
      <w:r w:rsidRPr="003761A4">
        <w:rPr>
          <w:rFonts w:ascii="Times New Roman" w:hAnsi="Times New Roman"/>
          <w:sz w:val="24"/>
          <w:szCs w:val="24"/>
          <w:lang w:val="ky-KG"/>
        </w:rPr>
        <w:t>По состоянию на 01.01.2023 года кредитный портфель составил 54,4% от активов или 24 254,7 млрд. тенге (52,4 млрд. USD) от активов банков, увеличившись с начала 2022 года на 20,1% (4 054,3 млрд. тенге или 8,8 млрд. USD). Размер сформированных провизий на 01.01.2023год составил 1 638,6 млрд. тенге (3,5 млрд. USD), увеличившись с начала 2022 года на 16,5%, задолженность просроченная более на 90 дней (NPL90+) составила 814,6 млрд. тенге (или 1,8 млрд. USD), увеличившись с начала 2022 года на 21,8% или 145,8 млрд. тенге (0,3 млрд. USD). Покрытие займов NPL90+ провизиями составило 76,9%.</w:t>
      </w:r>
    </w:p>
    <w:p w14:paraId="799C689C" w14:textId="77777777" w:rsidR="006319B3" w:rsidRPr="003761A4" w:rsidRDefault="006319B3" w:rsidP="006319B3">
      <w:pPr>
        <w:spacing w:after="240"/>
        <w:contextualSpacing/>
        <w:rPr>
          <w:rFonts w:ascii="Times New Roman" w:hAnsi="Times New Roman"/>
          <w:sz w:val="24"/>
          <w:szCs w:val="24"/>
          <w:lang w:val="ky-KG"/>
        </w:rPr>
      </w:pPr>
      <w:r w:rsidRPr="003761A4">
        <w:rPr>
          <w:rFonts w:ascii="Times New Roman" w:hAnsi="Times New Roman"/>
          <w:sz w:val="24"/>
          <w:szCs w:val="24"/>
          <w:lang w:val="ky-KG"/>
        </w:rPr>
        <w:t>По состоянию на 01.01.2023 года капитал банковского сектора составил 5 227,2 млрд. тенге или 11,3 млрд. USD. Коэффициент достаточности основного капитала (к1) по системе составил 19,3%, коэффициент достаточности собственного капитала (к2) – 23,4%, что в среднем по системе существенно превышает установленные законодательством нормативы. Таким образом, банки второго уровня имеют значительный запас собственного капитала и ликвидности для обеспечения непрерывной деятельности и оказания полного перечня банковских услуг для населения и корпоративных клиентов.</w:t>
      </w:r>
    </w:p>
    <w:p w14:paraId="6BA7FAC5" w14:textId="77777777" w:rsidR="006319B3" w:rsidRPr="003761A4" w:rsidRDefault="006319B3" w:rsidP="006319B3">
      <w:pPr>
        <w:spacing w:after="240"/>
        <w:contextualSpacing/>
        <w:rPr>
          <w:rFonts w:ascii="Times New Roman" w:hAnsi="Times New Roman"/>
          <w:sz w:val="24"/>
          <w:szCs w:val="24"/>
          <w:lang w:val="ky-KG"/>
        </w:rPr>
      </w:pPr>
    </w:p>
    <w:p w14:paraId="5621F672" w14:textId="216E290F" w:rsidR="00AF6E0E" w:rsidRPr="003761A4" w:rsidRDefault="00C83D7E" w:rsidP="00DB2F4B">
      <w:pPr>
        <w:pStyle w:val="3"/>
        <w:rPr>
          <w:rFonts w:ascii="Times New Roman" w:eastAsia="Calibri" w:hAnsi="Times New Roman" w:cs="Times New Roman"/>
          <w:b/>
          <w:color w:val="auto"/>
        </w:rPr>
      </w:pPr>
      <w:r w:rsidRPr="003761A4">
        <w:rPr>
          <w:rFonts w:ascii="Times New Roman" w:eastAsia="Calibri" w:hAnsi="Times New Roman" w:cs="Times New Roman"/>
          <w:b/>
          <w:color w:val="auto"/>
        </w:rPr>
        <w:t>Кыргызская Республика</w:t>
      </w:r>
    </w:p>
    <w:p w14:paraId="0D6B5401" w14:textId="28735F4C" w:rsidR="00DE34D5" w:rsidRPr="003761A4" w:rsidRDefault="00DE34D5" w:rsidP="00DE34D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Банковская система Кыргызской Республики, в 202</w:t>
      </w:r>
      <w:r w:rsidR="003E3BE4" w:rsidRPr="003761A4">
        <w:rPr>
          <w:rFonts w:ascii="Times New Roman" w:eastAsia="Calibri" w:hAnsi="Times New Roman" w:cs="Times New Roman"/>
          <w:sz w:val="24"/>
          <w:szCs w:val="24"/>
        </w:rPr>
        <w:t>2</w:t>
      </w:r>
      <w:r w:rsidRPr="003761A4">
        <w:rPr>
          <w:rFonts w:ascii="Times New Roman" w:eastAsia="Calibri" w:hAnsi="Times New Roman" w:cs="Times New Roman"/>
          <w:sz w:val="24"/>
          <w:szCs w:val="24"/>
        </w:rPr>
        <w:t xml:space="preserve"> году сохраняя свои объемы двигалась в сторону наращивания активов и депозитной базы. </w:t>
      </w:r>
    </w:p>
    <w:p w14:paraId="69826E66" w14:textId="5B1D7FAF" w:rsidR="00DE34D5" w:rsidRPr="003761A4" w:rsidRDefault="00DE34D5" w:rsidP="00DE34D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В 202</w:t>
      </w:r>
      <w:r w:rsidR="003E3BE4" w:rsidRPr="003761A4">
        <w:rPr>
          <w:rFonts w:ascii="Times New Roman" w:eastAsia="Calibri" w:hAnsi="Times New Roman" w:cs="Times New Roman"/>
          <w:sz w:val="24"/>
          <w:szCs w:val="24"/>
        </w:rPr>
        <w:t>2</w:t>
      </w:r>
      <w:r w:rsidRPr="003761A4">
        <w:rPr>
          <w:rFonts w:ascii="Times New Roman" w:eastAsia="Calibri" w:hAnsi="Times New Roman" w:cs="Times New Roman"/>
          <w:sz w:val="24"/>
          <w:szCs w:val="24"/>
        </w:rPr>
        <w:t xml:space="preserve"> году основные показатели деятельности финансово-кредитных организаций продемонстрировали поступательное развитие, сохраняя устойчивость и потенциал для дальнейшего расширения предложения финансовых услуг. </w:t>
      </w:r>
    </w:p>
    <w:p w14:paraId="4BD221B3" w14:textId="490E24DE" w:rsidR="00DE34D5" w:rsidRPr="003761A4" w:rsidRDefault="00DE34D5" w:rsidP="00DE34D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Увеличение объемов депозитов, свидетельствующее о росте доверия населения к банкам, а также вливания в капитал позволили финансово-кредитным организациям нарастить в отчетном периоде объемы кредитования населения. Общий объем депозитной базы коммерческих банков в 202</w:t>
      </w:r>
      <w:r w:rsidR="002B7BF9" w:rsidRPr="003761A4">
        <w:rPr>
          <w:rFonts w:ascii="Times New Roman" w:eastAsia="Calibri" w:hAnsi="Times New Roman" w:cs="Times New Roman"/>
          <w:sz w:val="24"/>
          <w:szCs w:val="24"/>
        </w:rPr>
        <w:t>2</w:t>
      </w:r>
      <w:r w:rsidRPr="003761A4">
        <w:rPr>
          <w:rFonts w:ascii="Times New Roman" w:eastAsia="Calibri" w:hAnsi="Times New Roman" w:cs="Times New Roman"/>
          <w:sz w:val="24"/>
          <w:szCs w:val="24"/>
        </w:rPr>
        <w:t xml:space="preserve"> году вырос на 3</w:t>
      </w:r>
      <w:r w:rsidR="00B0479F" w:rsidRPr="003761A4">
        <w:rPr>
          <w:rFonts w:ascii="Times New Roman" w:eastAsia="Calibri" w:hAnsi="Times New Roman" w:cs="Times New Roman"/>
          <w:sz w:val="24"/>
          <w:szCs w:val="24"/>
        </w:rPr>
        <w:t>9</w:t>
      </w:r>
      <w:r w:rsidRPr="003761A4">
        <w:rPr>
          <w:rFonts w:ascii="Times New Roman" w:eastAsia="Calibri" w:hAnsi="Times New Roman" w:cs="Times New Roman"/>
          <w:sz w:val="24"/>
          <w:szCs w:val="24"/>
        </w:rPr>
        <w:t>,</w:t>
      </w:r>
      <w:r w:rsidR="00B0479F" w:rsidRPr="003761A4">
        <w:rPr>
          <w:rFonts w:ascii="Times New Roman" w:eastAsia="Calibri" w:hAnsi="Times New Roman" w:cs="Times New Roman"/>
          <w:sz w:val="24"/>
          <w:szCs w:val="24"/>
        </w:rPr>
        <w:t>5</w:t>
      </w:r>
      <w:r w:rsidRPr="003761A4">
        <w:rPr>
          <w:rFonts w:ascii="Times New Roman" w:eastAsia="Calibri" w:hAnsi="Times New Roman" w:cs="Times New Roman"/>
          <w:sz w:val="24"/>
          <w:szCs w:val="24"/>
        </w:rPr>
        <w:t xml:space="preserve"> процента, составив </w:t>
      </w:r>
      <w:r w:rsidR="00B0479F" w:rsidRPr="003761A4">
        <w:rPr>
          <w:rFonts w:ascii="Times New Roman" w:eastAsia="Calibri" w:hAnsi="Times New Roman" w:cs="Times New Roman"/>
          <w:sz w:val="24"/>
          <w:szCs w:val="24"/>
        </w:rPr>
        <w:t>339</w:t>
      </w:r>
      <w:r w:rsidRPr="003761A4">
        <w:rPr>
          <w:rFonts w:ascii="Times New Roman" w:eastAsia="Calibri" w:hAnsi="Times New Roman" w:cs="Times New Roman"/>
          <w:sz w:val="24"/>
          <w:szCs w:val="24"/>
        </w:rPr>
        <w:t>,</w:t>
      </w:r>
      <w:r w:rsidR="00B0479F" w:rsidRPr="003761A4">
        <w:rPr>
          <w:rFonts w:ascii="Times New Roman" w:eastAsia="Calibri" w:hAnsi="Times New Roman" w:cs="Times New Roman"/>
          <w:sz w:val="24"/>
          <w:szCs w:val="24"/>
        </w:rPr>
        <w:t>0</w:t>
      </w:r>
      <w:r w:rsidRPr="003761A4">
        <w:rPr>
          <w:rFonts w:ascii="Times New Roman" w:eastAsia="Calibri" w:hAnsi="Times New Roman" w:cs="Times New Roman"/>
          <w:sz w:val="24"/>
          <w:szCs w:val="24"/>
        </w:rPr>
        <w:t xml:space="preserve"> млрд сомов.</w:t>
      </w:r>
      <w:r w:rsidRPr="003761A4">
        <w:rPr>
          <w:rFonts w:ascii="Times New Roman" w:eastAsia="Calibri" w:hAnsi="Times New Roman" w:cs="Times New Roman"/>
          <w:sz w:val="24"/>
          <w:szCs w:val="24"/>
          <w:highlight w:val="darkGray"/>
        </w:rPr>
        <w:t xml:space="preserve"> </w:t>
      </w:r>
      <w:r w:rsidRPr="003761A4">
        <w:rPr>
          <w:rFonts w:ascii="Times New Roman" w:eastAsia="Calibri" w:hAnsi="Times New Roman" w:cs="Times New Roman"/>
          <w:sz w:val="24"/>
          <w:szCs w:val="24"/>
        </w:rPr>
        <w:t>Совокупный кредитный портфель банков за 202</w:t>
      </w:r>
      <w:r w:rsidR="002B7BF9" w:rsidRPr="003761A4">
        <w:rPr>
          <w:rFonts w:ascii="Times New Roman" w:eastAsia="Calibri" w:hAnsi="Times New Roman" w:cs="Times New Roman"/>
          <w:sz w:val="24"/>
          <w:szCs w:val="24"/>
        </w:rPr>
        <w:t>2</w:t>
      </w:r>
      <w:r w:rsidRPr="003761A4">
        <w:rPr>
          <w:rFonts w:ascii="Times New Roman" w:eastAsia="Calibri" w:hAnsi="Times New Roman" w:cs="Times New Roman"/>
          <w:sz w:val="24"/>
          <w:szCs w:val="24"/>
        </w:rPr>
        <w:t xml:space="preserve"> год вырос на 1</w:t>
      </w:r>
      <w:r w:rsidR="0076658A" w:rsidRPr="003761A4">
        <w:rPr>
          <w:rFonts w:ascii="Times New Roman" w:eastAsia="Calibri" w:hAnsi="Times New Roman" w:cs="Times New Roman"/>
          <w:sz w:val="24"/>
          <w:szCs w:val="24"/>
        </w:rPr>
        <w:t>2</w:t>
      </w:r>
      <w:r w:rsidRPr="003761A4">
        <w:rPr>
          <w:rFonts w:ascii="Times New Roman" w:eastAsia="Calibri" w:hAnsi="Times New Roman" w:cs="Times New Roman"/>
          <w:sz w:val="24"/>
          <w:szCs w:val="24"/>
        </w:rPr>
        <w:t>,</w:t>
      </w:r>
      <w:r w:rsidR="0076658A" w:rsidRPr="003761A4">
        <w:rPr>
          <w:rFonts w:ascii="Times New Roman" w:eastAsia="Calibri" w:hAnsi="Times New Roman" w:cs="Times New Roman"/>
          <w:sz w:val="24"/>
          <w:szCs w:val="24"/>
        </w:rPr>
        <w:t>2</w:t>
      </w:r>
      <w:r w:rsidRPr="003761A4">
        <w:rPr>
          <w:rFonts w:ascii="Times New Roman" w:eastAsia="Calibri" w:hAnsi="Times New Roman" w:cs="Times New Roman"/>
          <w:sz w:val="24"/>
          <w:szCs w:val="24"/>
        </w:rPr>
        <w:t xml:space="preserve"> процента, составив </w:t>
      </w:r>
      <w:r w:rsidR="0076658A" w:rsidRPr="003761A4">
        <w:rPr>
          <w:rFonts w:ascii="Times New Roman" w:eastAsia="Calibri" w:hAnsi="Times New Roman" w:cs="Times New Roman"/>
          <w:sz w:val="24"/>
          <w:szCs w:val="24"/>
        </w:rPr>
        <w:t>204</w:t>
      </w:r>
      <w:r w:rsidRPr="003761A4">
        <w:rPr>
          <w:rFonts w:ascii="Times New Roman" w:eastAsia="Calibri" w:hAnsi="Times New Roman" w:cs="Times New Roman"/>
          <w:sz w:val="24"/>
          <w:szCs w:val="24"/>
        </w:rPr>
        <w:t>,</w:t>
      </w:r>
      <w:r w:rsidR="0076658A" w:rsidRPr="003761A4">
        <w:rPr>
          <w:rFonts w:ascii="Times New Roman" w:eastAsia="Calibri" w:hAnsi="Times New Roman" w:cs="Times New Roman"/>
          <w:sz w:val="24"/>
          <w:szCs w:val="24"/>
        </w:rPr>
        <w:t>0</w:t>
      </w:r>
      <w:r w:rsidR="0076658A" w:rsidRPr="003761A4">
        <w:rPr>
          <w:rFonts w:ascii="Times New Roman" w:eastAsia="Calibri" w:hAnsi="Times New Roman" w:cs="Times New Roman"/>
          <w:sz w:val="24"/>
          <w:szCs w:val="24"/>
          <w:lang w:val="en-US"/>
        </w:rPr>
        <w:t> </w:t>
      </w:r>
      <w:r w:rsidRPr="003761A4">
        <w:rPr>
          <w:rFonts w:ascii="Times New Roman" w:eastAsia="Calibri" w:hAnsi="Times New Roman" w:cs="Times New Roman"/>
          <w:sz w:val="24"/>
          <w:szCs w:val="24"/>
        </w:rPr>
        <w:t>млрд сомов. Уровень соотношения классифицированных кредитов к кредитному портфелю, характеризующий качество кредитов, сложился в размере 1</w:t>
      </w:r>
      <w:r w:rsidR="0076658A" w:rsidRPr="003761A4">
        <w:rPr>
          <w:rFonts w:ascii="Times New Roman" w:eastAsia="Calibri" w:hAnsi="Times New Roman" w:cs="Times New Roman"/>
          <w:sz w:val="24"/>
          <w:szCs w:val="24"/>
        </w:rPr>
        <w:t>2</w:t>
      </w:r>
      <w:r w:rsidRPr="003761A4">
        <w:rPr>
          <w:rFonts w:ascii="Times New Roman" w:eastAsia="Calibri" w:hAnsi="Times New Roman" w:cs="Times New Roman"/>
          <w:sz w:val="24"/>
          <w:szCs w:val="24"/>
        </w:rPr>
        <w:t>,</w:t>
      </w:r>
      <w:r w:rsidR="0076658A" w:rsidRPr="003761A4">
        <w:rPr>
          <w:rFonts w:ascii="Times New Roman" w:eastAsia="Calibri" w:hAnsi="Times New Roman" w:cs="Times New Roman"/>
          <w:sz w:val="24"/>
          <w:szCs w:val="24"/>
        </w:rPr>
        <w:t>8</w:t>
      </w:r>
      <w:r w:rsidRPr="003761A4">
        <w:rPr>
          <w:rFonts w:ascii="Times New Roman" w:eastAsia="Calibri" w:hAnsi="Times New Roman" w:cs="Times New Roman"/>
          <w:sz w:val="24"/>
          <w:szCs w:val="24"/>
        </w:rPr>
        <w:t xml:space="preserve"> процента. Общий уровень финансового посредничества увеличился и составил </w:t>
      </w:r>
      <w:r w:rsidR="0076658A" w:rsidRPr="003761A4">
        <w:rPr>
          <w:rFonts w:ascii="Times New Roman" w:eastAsia="Calibri" w:hAnsi="Times New Roman" w:cs="Times New Roman"/>
          <w:sz w:val="24"/>
          <w:szCs w:val="24"/>
        </w:rPr>
        <w:t xml:space="preserve">52,4 </w:t>
      </w:r>
      <w:r w:rsidRPr="003761A4">
        <w:rPr>
          <w:rFonts w:ascii="Times New Roman" w:eastAsia="Calibri" w:hAnsi="Times New Roman" w:cs="Times New Roman"/>
          <w:sz w:val="24"/>
          <w:szCs w:val="24"/>
        </w:rPr>
        <w:t>процента (на конец 202</w:t>
      </w:r>
      <w:r w:rsidR="000F1E8F" w:rsidRPr="003761A4">
        <w:rPr>
          <w:rFonts w:ascii="Times New Roman" w:eastAsia="Calibri" w:hAnsi="Times New Roman" w:cs="Times New Roman"/>
          <w:sz w:val="24"/>
          <w:szCs w:val="24"/>
        </w:rPr>
        <w:t>1</w:t>
      </w:r>
      <w:r w:rsidRPr="003761A4">
        <w:rPr>
          <w:rFonts w:ascii="Times New Roman" w:eastAsia="Calibri" w:hAnsi="Times New Roman" w:cs="Times New Roman"/>
          <w:sz w:val="24"/>
          <w:szCs w:val="24"/>
        </w:rPr>
        <w:t xml:space="preserve"> года – 4</w:t>
      </w:r>
      <w:r w:rsidR="0076658A" w:rsidRPr="003761A4">
        <w:rPr>
          <w:rFonts w:ascii="Times New Roman" w:eastAsia="Calibri" w:hAnsi="Times New Roman" w:cs="Times New Roman"/>
          <w:sz w:val="24"/>
          <w:szCs w:val="24"/>
        </w:rPr>
        <w:t>9</w:t>
      </w:r>
      <w:r w:rsidRPr="003761A4">
        <w:rPr>
          <w:rFonts w:ascii="Times New Roman" w:eastAsia="Calibri" w:hAnsi="Times New Roman" w:cs="Times New Roman"/>
          <w:sz w:val="24"/>
          <w:szCs w:val="24"/>
        </w:rPr>
        <w:t>,</w:t>
      </w:r>
      <w:r w:rsidR="0076658A" w:rsidRPr="003761A4">
        <w:rPr>
          <w:rFonts w:ascii="Times New Roman" w:eastAsia="Calibri" w:hAnsi="Times New Roman" w:cs="Times New Roman"/>
          <w:sz w:val="24"/>
          <w:szCs w:val="24"/>
        </w:rPr>
        <w:t>9</w:t>
      </w:r>
      <w:r w:rsidRPr="003761A4">
        <w:rPr>
          <w:rFonts w:ascii="Times New Roman" w:eastAsia="Calibri" w:hAnsi="Times New Roman" w:cs="Times New Roman"/>
          <w:sz w:val="24"/>
          <w:szCs w:val="24"/>
        </w:rPr>
        <w:t xml:space="preserve"> процента). </w:t>
      </w:r>
    </w:p>
    <w:p w14:paraId="57639BB4" w14:textId="36A7E9F9" w:rsidR="00DE34D5" w:rsidRPr="003761A4" w:rsidRDefault="00DE34D5" w:rsidP="00DE34D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 xml:space="preserve">В свою очередь достижением банковского сектора является эффективность деятельности </w:t>
      </w:r>
      <w:r w:rsidR="0076658A" w:rsidRPr="003761A4">
        <w:rPr>
          <w:rFonts w:ascii="Times New Roman" w:eastAsia="Calibri" w:hAnsi="Times New Roman" w:cs="Times New Roman"/>
          <w:sz w:val="24"/>
          <w:szCs w:val="24"/>
        </w:rPr>
        <w:t>и устойчивая</w:t>
      </w:r>
      <w:r w:rsidRPr="003761A4">
        <w:rPr>
          <w:rFonts w:ascii="Times New Roman" w:eastAsia="Calibri" w:hAnsi="Times New Roman" w:cs="Times New Roman"/>
          <w:sz w:val="24"/>
          <w:szCs w:val="24"/>
        </w:rPr>
        <w:t xml:space="preserve"> динамика роста уровня финансового посредничества.</w:t>
      </w:r>
    </w:p>
    <w:p w14:paraId="235933C4" w14:textId="5AD4EDDA" w:rsidR="00DE34D5" w:rsidRPr="003761A4" w:rsidRDefault="00DE34D5" w:rsidP="00DE34D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 xml:space="preserve">Показатель чистого суммарного капитала банковского сектора, применяемый для расчета установленных Национальным банком экономических нормативов, составил </w:t>
      </w:r>
      <w:r w:rsidR="002B32C0" w:rsidRPr="003761A4">
        <w:rPr>
          <w:rFonts w:ascii="Times New Roman" w:eastAsia="Calibri" w:hAnsi="Times New Roman" w:cs="Times New Roman"/>
          <w:sz w:val="24"/>
          <w:szCs w:val="24"/>
        </w:rPr>
        <w:t>81,7</w:t>
      </w:r>
      <w:r w:rsidRPr="003761A4">
        <w:rPr>
          <w:rFonts w:ascii="Times New Roman" w:eastAsia="Calibri" w:hAnsi="Times New Roman" w:cs="Times New Roman"/>
          <w:sz w:val="24"/>
          <w:szCs w:val="24"/>
        </w:rPr>
        <w:t xml:space="preserve"> млрд сомов (на начало 202</w:t>
      </w:r>
      <w:r w:rsidR="002B32C0" w:rsidRPr="003761A4">
        <w:rPr>
          <w:rFonts w:ascii="Times New Roman" w:eastAsia="Calibri" w:hAnsi="Times New Roman" w:cs="Times New Roman"/>
          <w:sz w:val="24"/>
          <w:szCs w:val="24"/>
          <w:lang w:val="ky-KG"/>
        </w:rPr>
        <w:t>2</w:t>
      </w:r>
      <w:r w:rsidRPr="003761A4">
        <w:rPr>
          <w:rFonts w:ascii="Times New Roman" w:eastAsia="Calibri" w:hAnsi="Times New Roman" w:cs="Times New Roman"/>
          <w:sz w:val="24"/>
          <w:szCs w:val="24"/>
        </w:rPr>
        <w:t xml:space="preserve"> года – </w:t>
      </w:r>
      <w:r w:rsidR="002B32C0" w:rsidRPr="003761A4">
        <w:rPr>
          <w:rFonts w:ascii="Times New Roman" w:eastAsia="Calibri" w:hAnsi="Times New Roman" w:cs="Times New Roman"/>
          <w:sz w:val="24"/>
          <w:szCs w:val="24"/>
        </w:rPr>
        <w:t xml:space="preserve">52,4 </w:t>
      </w:r>
      <w:r w:rsidRPr="003761A4">
        <w:rPr>
          <w:rFonts w:ascii="Times New Roman" w:eastAsia="Calibri" w:hAnsi="Times New Roman" w:cs="Times New Roman"/>
          <w:sz w:val="24"/>
          <w:szCs w:val="24"/>
        </w:rPr>
        <w:t xml:space="preserve">млрд сомов). Доля иностранного участия в капитале банковского сектора составила </w:t>
      </w:r>
      <w:r w:rsidR="002B32C0" w:rsidRPr="003761A4">
        <w:rPr>
          <w:rFonts w:ascii="Times New Roman" w:eastAsia="Calibri" w:hAnsi="Times New Roman" w:cs="Times New Roman"/>
          <w:sz w:val="24"/>
          <w:szCs w:val="24"/>
        </w:rPr>
        <w:t xml:space="preserve">24,5 </w:t>
      </w:r>
      <w:r w:rsidRPr="003761A4">
        <w:rPr>
          <w:rFonts w:ascii="Times New Roman" w:eastAsia="Calibri" w:hAnsi="Times New Roman" w:cs="Times New Roman"/>
          <w:sz w:val="24"/>
          <w:szCs w:val="24"/>
        </w:rPr>
        <w:t xml:space="preserve">процента или </w:t>
      </w:r>
      <w:r w:rsidR="009526E2" w:rsidRPr="003761A4">
        <w:rPr>
          <w:rFonts w:ascii="Times New Roman" w:eastAsia="Calibri" w:hAnsi="Times New Roman" w:cs="Times New Roman"/>
          <w:sz w:val="24"/>
          <w:szCs w:val="24"/>
        </w:rPr>
        <w:t>10,8</w:t>
      </w:r>
      <w:r w:rsidRPr="003761A4">
        <w:rPr>
          <w:rFonts w:ascii="Times New Roman" w:eastAsia="Calibri" w:hAnsi="Times New Roman" w:cs="Times New Roman"/>
          <w:sz w:val="24"/>
          <w:szCs w:val="24"/>
        </w:rPr>
        <w:t xml:space="preserve"> млрд сомов (на 1 января 202</w:t>
      </w:r>
      <w:r w:rsidR="002B32C0" w:rsidRPr="003761A4">
        <w:rPr>
          <w:rFonts w:ascii="Times New Roman" w:eastAsia="Calibri" w:hAnsi="Times New Roman" w:cs="Times New Roman"/>
          <w:sz w:val="24"/>
          <w:szCs w:val="24"/>
        </w:rPr>
        <w:t>2</w:t>
      </w:r>
      <w:r w:rsidRPr="003761A4">
        <w:rPr>
          <w:rFonts w:ascii="Times New Roman" w:eastAsia="Calibri" w:hAnsi="Times New Roman" w:cs="Times New Roman"/>
          <w:sz w:val="24"/>
          <w:szCs w:val="24"/>
        </w:rPr>
        <w:t xml:space="preserve"> года – </w:t>
      </w:r>
      <w:r w:rsidR="002B32C0" w:rsidRPr="003761A4">
        <w:rPr>
          <w:rFonts w:ascii="Times New Roman" w:eastAsia="Calibri" w:hAnsi="Times New Roman" w:cs="Times New Roman"/>
          <w:sz w:val="24"/>
          <w:szCs w:val="24"/>
        </w:rPr>
        <w:t>29,2 процента или 10,8</w:t>
      </w:r>
      <w:r w:rsidRPr="003761A4">
        <w:rPr>
          <w:rFonts w:ascii="Times New Roman" w:eastAsia="Calibri" w:hAnsi="Times New Roman" w:cs="Times New Roman"/>
          <w:sz w:val="24"/>
          <w:szCs w:val="24"/>
        </w:rPr>
        <w:t xml:space="preserve">) от оплаченного уставного капитала банковского сектора. </w:t>
      </w:r>
    </w:p>
    <w:p w14:paraId="3023A4D8" w14:textId="03F31B97" w:rsidR="00DE34D5" w:rsidRPr="003761A4" w:rsidRDefault="00DE34D5" w:rsidP="00DE34D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 xml:space="preserve">Коэффициент достаточности (адекватности) суммарного капитала по банковскому сектору составил </w:t>
      </w:r>
      <w:r w:rsidR="00305CA0" w:rsidRPr="003761A4">
        <w:rPr>
          <w:rFonts w:ascii="Times New Roman" w:eastAsia="Calibri" w:hAnsi="Times New Roman" w:cs="Times New Roman"/>
          <w:sz w:val="24"/>
          <w:szCs w:val="24"/>
        </w:rPr>
        <w:t xml:space="preserve">25,6 </w:t>
      </w:r>
      <w:r w:rsidRPr="003761A4">
        <w:rPr>
          <w:rFonts w:ascii="Times New Roman" w:eastAsia="Calibri" w:hAnsi="Times New Roman" w:cs="Times New Roman"/>
          <w:sz w:val="24"/>
          <w:szCs w:val="24"/>
        </w:rPr>
        <w:t>процента (на 1 января 202</w:t>
      </w:r>
      <w:r w:rsidR="009526E2" w:rsidRPr="003761A4">
        <w:rPr>
          <w:rFonts w:ascii="Times New Roman" w:eastAsia="Calibri" w:hAnsi="Times New Roman" w:cs="Times New Roman"/>
          <w:sz w:val="24"/>
          <w:szCs w:val="24"/>
        </w:rPr>
        <w:t>1</w:t>
      </w:r>
      <w:r w:rsidRPr="003761A4">
        <w:rPr>
          <w:rFonts w:ascii="Times New Roman" w:eastAsia="Calibri" w:hAnsi="Times New Roman" w:cs="Times New Roman"/>
          <w:sz w:val="24"/>
          <w:szCs w:val="24"/>
        </w:rPr>
        <w:t xml:space="preserve"> года – </w:t>
      </w:r>
      <w:r w:rsidR="007F0E21" w:rsidRPr="003761A4">
        <w:rPr>
          <w:rFonts w:ascii="Times New Roman" w:eastAsia="Calibri" w:hAnsi="Times New Roman" w:cs="Times New Roman"/>
          <w:sz w:val="24"/>
          <w:szCs w:val="24"/>
        </w:rPr>
        <w:t xml:space="preserve">22,19 </w:t>
      </w:r>
      <w:r w:rsidRPr="003761A4">
        <w:rPr>
          <w:rFonts w:ascii="Times New Roman" w:eastAsia="Calibri" w:hAnsi="Times New Roman" w:cs="Times New Roman"/>
          <w:sz w:val="24"/>
          <w:szCs w:val="24"/>
        </w:rPr>
        <w:t xml:space="preserve">процента) при нормативе 12,0 процента, коэффициент </w:t>
      </w:r>
      <w:proofErr w:type="spellStart"/>
      <w:r w:rsidRPr="003761A4">
        <w:rPr>
          <w:rFonts w:ascii="Times New Roman" w:eastAsia="Calibri" w:hAnsi="Times New Roman" w:cs="Times New Roman"/>
          <w:sz w:val="24"/>
          <w:szCs w:val="24"/>
        </w:rPr>
        <w:t>левеража</w:t>
      </w:r>
      <w:proofErr w:type="spellEnd"/>
      <w:r w:rsidRPr="003761A4">
        <w:rPr>
          <w:rFonts w:ascii="Times New Roman" w:eastAsia="Calibri" w:hAnsi="Times New Roman" w:cs="Times New Roman"/>
          <w:sz w:val="24"/>
          <w:szCs w:val="24"/>
        </w:rPr>
        <w:t xml:space="preserve"> по банковскому сектору составил </w:t>
      </w:r>
      <w:r w:rsidR="00305CA0" w:rsidRPr="003761A4">
        <w:rPr>
          <w:rFonts w:ascii="Times New Roman" w:eastAsia="Calibri" w:hAnsi="Times New Roman" w:cs="Times New Roman"/>
          <w:sz w:val="24"/>
          <w:szCs w:val="24"/>
        </w:rPr>
        <w:t>17,0</w:t>
      </w:r>
      <w:r w:rsidR="000151B0" w:rsidRPr="003761A4">
        <w:rPr>
          <w:rFonts w:ascii="Times New Roman" w:eastAsia="Calibri" w:hAnsi="Times New Roman" w:cs="Times New Roman"/>
          <w:sz w:val="24"/>
          <w:szCs w:val="24"/>
        </w:rPr>
        <w:t xml:space="preserve"> </w:t>
      </w:r>
      <w:r w:rsidRPr="003761A4">
        <w:rPr>
          <w:rFonts w:ascii="Times New Roman" w:eastAsia="Calibri" w:hAnsi="Times New Roman" w:cs="Times New Roman"/>
          <w:sz w:val="24"/>
          <w:szCs w:val="24"/>
        </w:rPr>
        <w:t>процента (на 1 января 202</w:t>
      </w:r>
      <w:r w:rsidR="00305CA0" w:rsidRPr="003761A4">
        <w:rPr>
          <w:rFonts w:ascii="Times New Roman" w:eastAsia="Calibri" w:hAnsi="Times New Roman" w:cs="Times New Roman"/>
          <w:sz w:val="24"/>
          <w:szCs w:val="24"/>
        </w:rPr>
        <w:t>2</w:t>
      </w:r>
      <w:r w:rsidRPr="003761A4">
        <w:rPr>
          <w:rFonts w:ascii="Times New Roman" w:eastAsia="Calibri" w:hAnsi="Times New Roman" w:cs="Times New Roman"/>
          <w:sz w:val="24"/>
          <w:szCs w:val="24"/>
        </w:rPr>
        <w:t xml:space="preserve"> года – </w:t>
      </w:r>
      <w:r w:rsidR="007F0E21" w:rsidRPr="003761A4">
        <w:rPr>
          <w:rFonts w:ascii="Times New Roman" w:eastAsia="Calibri" w:hAnsi="Times New Roman" w:cs="Times New Roman"/>
          <w:sz w:val="24"/>
          <w:szCs w:val="24"/>
        </w:rPr>
        <w:t xml:space="preserve">14,5 </w:t>
      </w:r>
      <w:r w:rsidRPr="003761A4">
        <w:rPr>
          <w:rFonts w:ascii="Times New Roman" w:eastAsia="Calibri" w:hAnsi="Times New Roman" w:cs="Times New Roman"/>
          <w:sz w:val="24"/>
          <w:szCs w:val="24"/>
        </w:rPr>
        <w:t xml:space="preserve">процента) при нормативе </w:t>
      </w:r>
      <w:r w:rsidR="00305CA0" w:rsidRPr="003761A4">
        <w:rPr>
          <w:rFonts w:ascii="Times New Roman" w:eastAsia="Calibri" w:hAnsi="Times New Roman" w:cs="Times New Roman"/>
          <w:sz w:val="24"/>
          <w:szCs w:val="24"/>
          <w:lang w:val="ky-KG"/>
        </w:rPr>
        <w:t>6</w:t>
      </w:r>
      <w:r w:rsidRPr="003761A4">
        <w:rPr>
          <w:rFonts w:ascii="Times New Roman" w:eastAsia="Calibri" w:hAnsi="Times New Roman" w:cs="Times New Roman"/>
          <w:sz w:val="24"/>
          <w:szCs w:val="24"/>
        </w:rPr>
        <w:t xml:space="preserve">,0 процента. </w:t>
      </w:r>
    </w:p>
    <w:p w14:paraId="6277C69D" w14:textId="6BD78065" w:rsidR="00DE34D5" w:rsidRPr="003761A4" w:rsidRDefault="00DE34D5" w:rsidP="00DE34D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 xml:space="preserve">Коэффициент ликвидности по банковской системе составил </w:t>
      </w:r>
      <w:r w:rsidR="00134CC1" w:rsidRPr="003761A4">
        <w:rPr>
          <w:rFonts w:ascii="Times New Roman" w:eastAsia="Calibri" w:hAnsi="Times New Roman" w:cs="Times New Roman"/>
          <w:sz w:val="24"/>
          <w:szCs w:val="24"/>
        </w:rPr>
        <w:t>82,8</w:t>
      </w:r>
      <w:r w:rsidR="00134CC1" w:rsidRPr="003761A4">
        <w:rPr>
          <w:rFonts w:ascii="Times New Roman" w:eastAsia="Calibri" w:hAnsi="Times New Roman" w:cs="Times New Roman"/>
          <w:sz w:val="24"/>
          <w:szCs w:val="24"/>
          <w:lang w:val="ky-KG"/>
        </w:rPr>
        <w:t xml:space="preserve"> </w:t>
      </w:r>
      <w:r w:rsidRPr="003761A4">
        <w:rPr>
          <w:rFonts w:ascii="Times New Roman" w:eastAsia="Calibri" w:hAnsi="Times New Roman" w:cs="Times New Roman"/>
          <w:sz w:val="24"/>
          <w:szCs w:val="24"/>
        </w:rPr>
        <w:t>процента (на 1 января 202</w:t>
      </w:r>
      <w:r w:rsidR="00134CC1" w:rsidRPr="003761A4">
        <w:rPr>
          <w:rFonts w:ascii="Times New Roman" w:eastAsia="Calibri" w:hAnsi="Times New Roman" w:cs="Times New Roman"/>
          <w:sz w:val="24"/>
          <w:szCs w:val="24"/>
          <w:lang w:val="ky-KG"/>
        </w:rPr>
        <w:t>2</w:t>
      </w:r>
      <w:r w:rsidRPr="003761A4">
        <w:rPr>
          <w:rFonts w:ascii="Times New Roman" w:eastAsia="Calibri" w:hAnsi="Times New Roman" w:cs="Times New Roman"/>
          <w:sz w:val="24"/>
          <w:szCs w:val="24"/>
        </w:rPr>
        <w:t xml:space="preserve"> года – </w:t>
      </w:r>
      <w:r w:rsidR="00134CC1" w:rsidRPr="003761A4">
        <w:rPr>
          <w:rFonts w:ascii="Times New Roman" w:eastAsia="Calibri" w:hAnsi="Times New Roman" w:cs="Times New Roman"/>
          <w:sz w:val="24"/>
          <w:szCs w:val="24"/>
        </w:rPr>
        <w:t xml:space="preserve">71,3 </w:t>
      </w:r>
      <w:r w:rsidRPr="003761A4">
        <w:rPr>
          <w:rFonts w:ascii="Times New Roman" w:eastAsia="Calibri" w:hAnsi="Times New Roman" w:cs="Times New Roman"/>
          <w:sz w:val="24"/>
          <w:szCs w:val="24"/>
        </w:rPr>
        <w:t xml:space="preserve">процента) при нормативе </w:t>
      </w:r>
      <w:r w:rsidR="00134CC1" w:rsidRPr="003761A4">
        <w:rPr>
          <w:rFonts w:ascii="Times New Roman" w:eastAsia="Calibri" w:hAnsi="Times New Roman" w:cs="Times New Roman"/>
          <w:sz w:val="24"/>
          <w:szCs w:val="24"/>
          <w:lang w:val="ky-KG"/>
        </w:rPr>
        <w:t>45</w:t>
      </w:r>
      <w:r w:rsidRPr="003761A4">
        <w:rPr>
          <w:rFonts w:ascii="Times New Roman" w:eastAsia="Calibri" w:hAnsi="Times New Roman" w:cs="Times New Roman"/>
          <w:sz w:val="24"/>
          <w:szCs w:val="24"/>
        </w:rPr>
        <w:t xml:space="preserve">,0 процента. </w:t>
      </w:r>
    </w:p>
    <w:p w14:paraId="6FF84F93" w14:textId="6D80C2F4" w:rsidR="00AF6E0E" w:rsidRPr="003761A4" w:rsidRDefault="00DE34D5" w:rsidP="00DE34D5">
      <w:pPr>
        <w:contextualSpacing/>
        <w:rPr>
          <w:rFonts w:ascii="Times New Roman" w:eastAsia="Calibri" w:hAnsi="Times New Roman" w:cs="Times New Roman"/>
          <w:sz w:val="24"/>
          <w:szCs w:val="24"/>
        </w:rPr>
      </w:pPr>
      <w:r w:rsidRPr="003761A4">
        <w:rPr>
          <w:rFonts w:ascii="Times New Roman" w:eastAsia="Calibri" w:hAnsi="Times New Roman" w:cs="Times New Roman"/>
          <w:sz w:val="24"/>
          <w:szCs w:val="24"/>
        </w:rPr>
        <w:t xml:space="preserve">Доходность активов банковского сектора (ROA) составила </w:t>
      </w:r>
      <w:r w:rsidR="00CE081D" w:rsidRPr="003761A4">
        <w:rPr>
          <w:rFonts w:ascii="Times New Roman" w:eastAsia="Calibri" w:hAnsi="Times New Roman" w:cs="Times New Roman"/>
          <w:sz w:val="24"/>
          <w:szCs w:val="24"/>
        </w:rPr>
        <w:t>5,9</w:t>
      </w:r>
      <w:r w:rsidR="00CE081D" w:rsidRPr="003761A4">
        <w:rPr>
          <w:rFonts w:ascii="Times New Roman" w:eastAsia="Calibri" w:hAnsi="Times New Roman" w:cs="Times New Roman"/>
          <w:sz w:val="24"/>
          <w:szCs w:val="24"/>
          <w:lang w:val="ky-KG"/>
        </w:rPr>
        <w:t xml:space="preserve"> </w:t>
      </w:r>
      <w:r w:rsidRPr="003761A4">
        <w:rPr>
          <w:rFonts w:ascii="Times New Roman" w:eastAsia="Calibri" w:hAnsi="Times New Roman" w:cs="Times New Roman"/>
          <w:sz w:val="24"/>
          <w:szCs w:val="24"/>
        </w:rPr>
        <w:t>процента (на 1 января 202</w:t>
      </w:r>
      <w:r w:rsidR="00E333F4" w:rsidRPr="003761A4">
        <w:rPr>
          <w:rFonts w:ascii="Times New Roman" w:eastAsia="Calibri" w:hAnsi="Times New Roman" w:cs="Times New Roman"/>
          <w:sz w:val="24"/>
          <w:szCs w:val="24"/>
          <w:lang w:val="ky-KG"/>
        </w:rPr>
        <w:t>2</w:t>
      </w:r>
      <w:r w:rsidRPr="003761A4">
        <w:rPr>
          <w:rFonts w:ascii="Times New Roman" w:eastAsia="Calibri" w:hAnsi="Times New Roman" w:cs="Times New Roman"/>
          <w:sz w:val="24"/>
          <w:szCs w:val="24"/>
        </w:rPr>
        <w:t xml:space="preserve"> года – </w:t>
      </w:r>
      <w:r w:rsidR="00E333F4" w:rsidRPr="003761A4">
        <w:rPr>
          <w:rFonts w:ascii="Times New Roman" w:eastAsia="Calibri" w:hAnsi="Times New Roman" w:cs="Times New Roman"/>
          <w:sz w:val="24"/>
          <w:szCs w:val="24"/>
        </w:rPr>
        <w:t xml:space="preserve">1,2 </w:t>
      </w:r>
      <w:r w:rsidRPr="003761A4">
        <w:rPr>
          <w:rFonts w:ascii="Times New Roman" w:eastAsia="Calibri" w:hAnsi="Times New Roman" w:cs="Times New Roman"/>
          <w:sz w:val="24"/>
          <w:szCs w:val="24"/>
        </w:rPr>
        <w:t xml:space="preserve">процента), а доходность на вложенный капитал (ROE) – </w:t>
      </w:r>
      <w:r w:rsidR="00CE081D" w:rsidRPr="003761A4">
        <w:rPr>
          <w:rFonts w:ascii="Times New Roman" w:eastAsia="Calibri" w:hAnsi="Times New Roman" w:cs="Times New Roman"/>
          <w:sz w:val="24"/>
          <w:szCs w:val="24"/>
        </w:rPr>
        <w:t>28,9</w:t>
      </w:r>
      <w:r w:rsidR="00CE081D" w:rsidRPr="003761A4">
        <w:rPr>
          <w:rFonts w:ascii="Times New Roman" w:eastAsia="Calibri" w:hAnsi="Times New Roman" w:cs="Times New Roman"/>
          <w:sz w:val="24"/>
          <w:szCs w:val="24"/>
          <w:lang w:val="ky-KG"/>
        </w:rPr>
        <w:t xml:space="preserve"> </w:t>
      </w:r>
      <w:r w:rsidRPr="003761A4">
        <w:rPr>
          <w:rFonts w:ascii="Times New Roman" w:eastAsia="Calibri" w:hAnsi="Times New Roman" w:cs="Times New Roman"/>
          <w:sz w:val="24"/>
          <w:szCs w:val="24"/>
        </w:rPr>
        <w:t>процента (на 1 января 202</w:t>
      </w:r>
      <w:r w:rsidR="007007EE" w:rsidRPr="003761A4">
        <w:rPr>
          <w:rFonts w:ascii="Times New Roman" w:eastAsia="Calibri" w:hAnsi="Times New Roman" w:cs="Times New Roman"/>
          <w:sz w:val="24"/>
          <w:szCs w:val="24"/>
        </w:rPr>
        <w:t>1</w:t>
      </w:r>
      <w:r w:rsidRPr="003761A4">
        <w:rPr>
          <w:rFonts w:ascii="Times New Roman" w:eastAsia="Calibri" w:hAnsi="Times New Roman" w:cs="Times New Roman"/>
          <w:sz w:val="24"/>
          <w:szCs w:val="24"/>
        </w:rPr>
        <w:t xml:space="preserve"> года – </w:t>
      </w:r>
      <w:r w:rsidR="00CE081D" w:rsidRPr="003761A4">
        <w:rPr>
          <w:rFonts w:ascii="Times New Roman" w:eastAsia="Calibri" w:hAnsi="Times New Roman" w:cs="Times New Roman"/>
          <w:sz w:val="24"/>
          <w:szCs w:val="24"/>
        </w:rPr>
        <w:t>7,</w:t>
      </w:r>
      <w:r w:rsidR="00CE081D" w:rsidRPr="003761A4">
        <w:rPr>
          <w:rFonts w:ascii="Times New Roman" w:eastAsia="Calibri" w:hAnsi="Times New Roman" w:cs="Times New Roman"/>
          <w:sz w:val="24"/>
          <w:szCs w:val="24"/>
          <w:lang w:val="ky-KG"/>
        </w:rPr>
        <w:t xml:space="preserve">8 </w:t>
      </w:r>
      <w:r w:rsidRPr="003761A4">
        <w:rPr>
          <w:rFonts w:ascii="Times New Roman" w:eastAsia="Calibri" w:hAnsi="Times New Roman" w:cs="Times New Roman"/>
          <w:sz w:val="24"/>
          <w:szCs w:val="24"/>
        </w:rPr>
        <w:t>процента).</w:t>
      </w:r>
    </w:p>
    <w:p w14:paraId="46235CE6" w14:textId="77777777" w:rsidR="007007EE" w:rsidRPr="003761A4" w:rsidRDefault="007007EE" w:rsidP="00E45C37">
      <w:pPr>
        <w:spacing w:after="120"/>
        <w:rPr>
          <w:rFonts w:ascii="Times New Roman" w:hAnsi="Times New Roman" w:cs="Times New Roman"/>
          <w:b/>
          <w:sz w:val="24"/>
          <w:szCs w:val="24"/>
          <w:lang w:val="ky-KG"/>
        </w:rPr>
      </w:pPr>
    </w:p>
    <w:p w14:paraId="62F5F942" w14:textId="53FF7D3E" w:rsidR="00BE3E27" w:rsidRPr="003761A4" w:rsidRDefault="00C83D7E" w:rsidP="00DB2F4B">
      <w:pPr>
        <w:pStyle w:val="3"/>
        <w:rPr>
          <w:rFonts w:ascii="Times New Roman" w:hAnsi="Times New Roman" w:cs="Times New Roman"/>
          <w:b/>
          <w:color w:val="auto"/>
          <w:lang w:val="ky-KG"/>
        </w:rPr>
      </w:pPr>
      <w:r w:rsidRPr="003761A4">
        <w:rPr>
          <w:rFonts w:ascii="Times New Roman" w:hAnsi="Times New Roman" w:cs="Times New Roman"/>
          <w:b/>
          <w:color w:val="auto"/>
          <w:lang w:val="ky-KG"/>
        </w:rPr>
        <w:t>Российская Федерация</w:t>
      </w:r>
    </w:p>
    <w:p w14:paraId="4237F5E5" w14:textId="77777777" w:rsidR="00192800" w:rsidRPr="003761A4" w:rsidRDefault="00192800" w:rsidP="00192800">
      <w:pPr>
        <w:keepNext/>
        <w:spacing w:after="120"/>
        <w:ind w:firstLine="0"/>
        <w:rPr>
          <w:rFonts w:ascii="Times New Roman" w:hAnsi="Times New Roman" w:cs="Times New Roman"/>
          <w:b/>
          <w:sz w:val="24"/>
          <w:szCs w:val="24"/>
        </w:rPr>
      </w:pPr>
      <w:r w:rsidRPr="003761A4">
        <w:rPr>
          <w:rFonts w:ascii="Times New Roman" w:hAnsi="Times New Roman" w:cs="Times New Roman"/>
          <w:b/>
          <w:sz w:val="24"/>
          <w:szCs w:val="24"/>
        </w:rPr>
        <w:t xml:space="preserve">1. Текущее состояние, проблемы и вызовы в банковском секторе государств– участников ЕСБ и пути их решения </w:t>
      </w:r>
    </w:p>
    <w:p w14:paraId="77E1370B" w14:textId="77777777" w:rsidR="00192800" w:rsidRPr="003761A4" w:rsidRDefault="00192800" w:rsidP="00192800">
      <w:pPr>
        <w:keepNext/>
        <w:spacing w:after="120"/>
        <w:ind w:firstLine="0"/>
        <w:rPr>
          <w:rFonts w:ascii="Times New Roman" w:hAnsi="Times New Roman" w:cs="Times New Roman"/>
          <w:b/>
          <w:sz w:val="24"/>
          <w:szCs w:val="24"/>
        </w:rPr>
      </w:pPr>
      <w:r w:rsidRPr="003761A4">
        <w:rPr>
          <w:rFonts w:ascii="Times New Roman" w:hAnsi="Times New Roman" w:cs="Times New Roman"/>
          <w:b/>
          <w:sz w:val="24"/>
          <w:szCs w:val="24"/>
        </w:rPr>
        <w:t>1.1. Меры, направленные на сохранение устойчивости банковского сектора</w:t>
      </w:r>
    </w:p>
    <w:p w14:paraId="16098D92" w14:textId="77777777" w:rsidR="00192800" w:rsidRPr="003761A4" w:rsidRDefault="00192800" w:rsidP="00192800">
      <w:pPr>
        <w:spacing w:after="120"/>
        <w:ind w:firstLine="0"/>
        <w:rPr>
          <w:rFonts w:ascii="Times New Roman" w:hAnsi="Times New Roman" w:cs="Times New Roman"/>
          <w:sz w:val="24"/>
          <w:szCs w:val="24"/>
        </w:rPr>
      </w:pPr>
      <w:r w:rsidRPr="003761A4">
        <w:rPr>
          <w:rFonts w:ascii="Times New Roman" w:hAnsi="Times New Roman" w:cs="Times New Roman"/>
          <w:b/>
          <w:sz w:val="24"/>
          <w:szCs w:val="24"/>
        </w:rPr>
        <w:t>В 2022 году российский банковский сектор столкнулся с широким спектром вызовов в условиях беспрецедентного санкционного давления</w:t>
      </w:r>
      <w:r w:rsidRPr="003761A4">
        <w:rPr>
          <w:rFonts w:ascii="Times New Roman" w:hAnsi="Times New Roman" w:cs="Times New Roman"/>
          <w:sz w:val="24"/>
          <w:szCs w:val="24"/>
        </w:rPr>
        <w:t xml:space="preserve">, в том числе под санкции попали почти все системно значимые кредитные организации (далее – СЗКО). В этих условиях Банк России реализовал </w:t>
      </w:r>
      <w:r w:rsidRPr="003761A4">
        <w:rPr>
          <w:rFonts w:ascii="Times New Roman" w:hAnsi="Times New Roman" w:cs="Times New Roman"/>
          <w:b/>
          <w:sz w:val="24"/>
          <w:szCs w:val="24"/>
        </w:rPr>
        <w:t>масштабный пакет временных мер поддержки</w:t>
      </w:r>
      <w:r w:rsidRPr="003761A4">
        <w:rPr>
          <w:rFonts w:ascii="Times New Roman" w:hAnsi="Times New Roman" w:cs="Times New Roman"/>
          <w:sz w:val="24"/>
          <w:szCs w:val="24"/>
        </w:rPr>
        <w:t xml:space="preserve">, направленных на адаптацию кредитных организаций (далее – КО) к высокой волатильности на финансовых рынках, а также к более долгосрочным структурным изменениям. </w:t>
      </w:r>
    </w:p>
    <w:p w14:paraId="0788D529" w14:textId="2936F19D" w:rsidR="00192800" w:rsidRPr="003761A4" w:rsidRDefault="00192800" w:rsidP="00192800">
      <w:pPr>
        <w:pStyle w:val="a3"/>
        <w:numPr>
          <w:ilvl w:val="0"/>
          <w:numId w:val="32"/>
        </w:numPr>
        <w:spacing w:after="120"/>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 xml:space="preserve">В частности, Банк России предоставил КО возможность зафиксировать в </w:t>
      </w:r>
      <w:proofErr w:type="spellStart"/>
      <w:r w:rsidRPr="003761A4">
        <w:rPr>
          <w:rFonts w:ascii="Times New Roman" w:eastAsia="Times New Roman" w:hAnsi="Times New Roman" w:cs="Times New Roman"/>
          <w:sz w:val="24"/>
          <w:szCs w:val="24"/>
          <w:lang w:eastAsia="ru-RU"/>
        </w:rPr>
        <w:t>пруденциальных</w:t>
      </w:r>
      <w:proofErr w:type="spellEnd"/>
      <w:r w:rsidRPr="003761A4">
        <w:rPr>
          <w:rFonts w:ascii="Times New Roman" w:eastAsia="Times New Roman" w:hAnsi="Times New Roman" w:cs="Times New Roman"/>
          <w:sz w:val="24"/>
          <w:szCs w:val="24"/>
          <w:lang w:eastAsia="ru-RU"/>
        </w:rPr>
        <w:t xml:space="preserve"> целях курсы валют (в частности,</w:t>
      </w:r>
      <w:r w:rsidRPr="003761A4">
        <w:rPr>
          <w:rStyle w:val="a9"/>
        </w:rPr>
        <w:t xml:space="preserve"> </w:t>
      </w:r>
      <w:r w:rsidRPr="003761A4">
        <w:rPr>
          <w:rFonts w:ascii="Times New Roman" w:eastAsia="Times New Roman" w:hAnsi="Times New Roman" w:cs="Times New Roman"/>
          <w:sz w:val="24"/>
          <w:szCs w:val="24"/>
          <w:lang w:eastAsia="ru-RU"/>
        </w:rPr>
        <w:t>при расчете обязательных нормативов (за исключением лимитов открытых валютных позиций</w:t>
      </w:r>
      <w:r w:rsidR="00136294" w:rsidRPr="003761A4">
        <w:rPr>
          <w:rFonts w:ascii="Times New Roman" w:eastAsia="Times New Roman" w:hAnsi="Times New Roman" w:cs="Times New Roman"/>
          <w:sz w:val="24"/>
          <w:szCs w:val="24"/>
          <w:lang w:eastAsia="ru-RU"/>
        </w:rPr>
        <w:t xml:space="preserve"> (ОВП)</w:t>
      </w:r>
      <w:r w:rsidRPr="003761A4">
        <w:rPr>
          <w:rFonts w:ascii="Times New Roman" w:eastAsia="Times New Roman" w:hAnsi="Times New Roman" w:cs="Times New Roman"/>
          <w:sz w:val="24"/>
          <w:szCs w:val="24"/>
          <w:lang w:eastAsia="ru-RU"/>
        </w:rPr>
        <w:t xml:space="preserve">), нормативов краткосрочной ликвидности и чистого стабильного фондирования и капитала) и стоимость финансовых инструментов, позволил не изменять оценку ссуд, если заемщик пострадал от действия санкций, не учитывать при формировании резервов факт блокировки активов, не применял меры за нарушение лимитов ОВП при определенных условиях, для СЗКО расширил возможности снижения ниже минимума по нормативу краткосрочной ликвидности (НКЛ), дал льготные риск-веса для расчета нормативов. </w:t>
      </w:r>
    </w:p>
    <w:p w14:paraId="27664570" w14:textId="77777777" w:rsidR="00192800" w:rsidRPr="003761A4" w:rsidRDefault="00192800" w:rsidP="00192800">
      <w:pPr>
        <w:pStyle w:val="a3"/>
        <w:numPr>
          <w:ilvl w:val="0"/>
          <w:numId w:val="32"/>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Для обеспечения возможности банков по управлению своей ликвидностью и поддержания привлекательности вкладов для населения в течение всего 2022 года</w:t>
      </w:r>
      <w:r w:rsidRPr="003761A4">
        <w:rPr>
          <w:rStyle w:val="a8"/>
          <w:rFonts w:eastAsia="Times New Roman"/>
          <w:sz w:val="24"/>
          <w:szCs w:val="24"/>
          <w:lang w:eastAsia="ru-RU"/>
        </w:rPr>
        <w:footnoteReference w:id="3"/>
      </w:r>
      <w:r w:rsidRPr="003761A4">
        <w:rPr>
          <w:rFonts w:ascii="Times New Roman" w:eastAsia="Times New Roman" w:hAnsi="Times New Roman" w:cs="Times New Roman"/>
          <w:sz w:val="24"/>
          <w:szCs w:val="24"/>
          <w:lang w:eastAsia="ru-RU"/>
        </w:rPr>
        <w:t xml:space="preserve"> банкам-участникам системы страхования вкладов было разрешено предлагать вклады с доходностью, превышающей пороговые значения базового уровня доходности вкладов (БУДВ), без последствий уплаты повышенных взносов в фонд обязательного страхования вкладов. Действие меры продлено до конца июня 2023 года</w:t>
      </w:r>
      <w:r w:rsidRPr="003761A4">
        <w:rPr>
          <w:rStyle w:val="a8"/>
          <w:rFonts w:eastAsia="Times New Roman"/>
          <w:sz w:val="24"/>
          <w:szCs w:val="24"/>
          <w:lang w:eastAsia="ru-RU"/>
        </w:rPr>
        <w:footnoteReference w:id="4"/>
      </w:r>
      <w:r w:rsidRPr="003761A4">
        <w:rPr>
          <w:rFonts w:ascii="Times New Roman" w:eastAsia="Times New Roman" w:hAnsi="Times New Roman" w:cs="Times New Roman"/>
          <w:sz w:val="24"/>
          <w:szCs w:val="24"/>
          <w:lang w:eastAsia="ru-RU"/>
        </w:rPr>
        <w:t>.</w:t>
      </w:r>
    </w:p>
    <w:p w14:paraId="05E8114A" w14:textId="3B26118E" w:rsidR="00136294" w:rsidRPr="003761A4" w:rsidRDefault="00192800" w:rsidP="0046564A">
      <w:pPr>
        <w:pStyle w:val="a3"/>
        <w:numPr>
          <w:ilvl w:val="0"/>
          <w:numId w:val="32"/>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Данные меры позволили сохранить устойчивость банковской системы и потенциал кредитования экономики. По мере стабилизации ситуации отдельные меры прекратили в конце 2022 года свое действие (фиксация курсов валют, стоимости финансовых инструментов, послабления по лимитам ОВП и т.п.).</w:t>
      </w:r>
      <w:r w:rsidR="0046564A" w:rsidRPr="003761A4">
        <w:rPr>
          <w:rFonts w:ascii="Times New Roman" w:eastAsia="Times New Roman" w:hAnsi="Times New Roman" w:cs="Times New Roman"/>
          <w:sz w:val="24"/>
          <w:szCs w:val="24"/>
          <w:lang w:eastAsia="ru-RU"/>
        </w:rPr>
        <w:t xml:space="preserve"> В мае 2023 года </w:t>
      </w:r>
      <w:r w:rsidR="00136294" w:rsidRPr="003761A4">
        <w:rPr>
          <w:rFonts w:ascii="Times New Roman" w:eastAsia="Times New Roman" w:hAnsi="Times New Roman" w:cs="Times New Roman"/>
          <w:sz w:val="24"/>
          <w:szCs w:val="24"/>
          <w:lang w:eastAsia="ru-RU"/>
        </w:rPr>
        <w:t>Банк России принял решение не</w:t>
      </w:r>
      <w:r w:rsidR="0046564A" w:rsidRPr="003761A4">
        <w:rPr>
          <w:rFonts w:ascii="Times New Roman" w:eastAsia="Times New Roman" w:hAnsi="Times New Roman" w:cs="Times New Roman"/>
          <w:sz w:val="24"/>
          <w:szCs w:val="24"/>
          <w:lang w:eastAsia="ru-RU"/>
        </w:rPr>
        <w:t xml:space="preserve"> </w:t>
      </w:r>
      <w:r w:rsidR="00136294" w:rsidRPr="003761A4">
        <w:rPr>
          <w:rFonts w:ascii="Times New Roman" w:eastAsia="Times New Roman" w:hAnsi="Times New Roman" w:cs="Times New Roman"/>
          <w:sz w:val="24"/>
          <w:szCs w:val="24"/>
          <w:lang w:eastAsia="ru-RU"/>
        </w:rPr>
        <w:t>продлевать послабления, которые по</w:t>
      </w:r>
      <w:r w:rsidR="0046564A" w:rsidRPr="003761A4">
        <w:rPr>
          <w:rFonts w:ascii="Times New Roman" w:eastAsia="Times New Roman" w:hAnsi="Times New Roman" w:cs="Times New Roman"/>
          <w:sz w:val="24"/>
          <w:szCs w:val="24"/>
          <w:lang w:eastAsia="ru-RU"/>
        </w:rPr>
        <w:t xml:space="preserve"> </w:t>
      </w:r>
      <w:r w:rsidR="00136294" w:rsidRPr="003761A4">
        <w:rPr>
          <w:rFonts w:ascii="Times New Roman" w:eastAsia="Times New Roman" w:hAnsi="Times New Roman" w:cs="Times New Roman"/>
          <w:sz w:val="24"/>
          <w:szCs w:val="24"/>
          <w:lang w:eastAsia="ru-RU"/>
        </w:rPr>
        <w:t>плану заканчивают свое действие в</w:t>
      </w:r>
      <w:r w:rsidR="0046564A" w:rsidRPr="003761A4">
        <w:rPr>
          <w:rFonts w:ascii="Times New Roman" w:eastAsia="Times New Roman" w:hAnsi="Times New Roman" w:cs="Times New Roman"/>
          <w:sz w:val="24"/>
          <w:szCs w:val="24"/>
          <w:lang w:eastAsia="ru-RU"/>
        </w:rPr>
        <w:t xml:space="preserve"> </w:t>
      </w:r>
      <w:r w:rsidR="00136294" w:rsidRPr="003761A4">
        <w:rPr>
          <w:rFonts w:ascii="Times New Roman" w:eastAsia="Times New Roman" w:hAnsi="Times New Roman" w:cs="Times New Roman"/>
          <w:sz w:val="24"/>
          <w:szCs w:val="24"/>
          <w:lang w:eastAsia="ru-RU"/>
        </w:rPr>
        <w:t>первой половине 2023</w:t>
      </w:r>
      <w:r w:rsidR="0046564A" w:rsidRPr="003761A4">
        <w:rPr>
          <w:rFonts w:ascii="Times New Roman" w:eastAsia="Times New Roman" w:hAnsi="Times New Roman" w:cs="Times New Roman"/>
          <w:sz w:val="24"/>
          <w:szCs w:val="24"/>
          <w:lang w:eastAsia="ru-RU"/>
        </w:rPr>
        <w:t xml:space="preserve"> </w:t>
      </w:r>
      <w:r w:rsidR="00136294" w:rsidRPr="003761A4">
        <w:rPr>
          <w:rFonts w:ascii="Times New Roman" w:eastAsia="Times New Roman" w:hAnsi="Times New Roman" w:cs="Times New Roman"/>
          <w:sz w:val="24"/>
          <w:szCs w:val="24"/>
          <w:lang w:eastAsia="ru-RU"/>
        </w:rPr>
        <w:t>года</w:t>
      </w:r>
      <w:r w:rsidR="0046564A" w:rsidRPr="003761A4">
        <w:rPr>
          <w:rStyle w:val="a8"/>
          <w:rFonts w:ascii="Times New Roman" w:eastAsia="Times New Roman" w:hAnsi="Times New Roman"/>
          <w:sz w:val="24"/>
          <w:szCs w:val="24"/>
          <w:lang w:eastAsia="ru-RU"/>
        </w:rPr>
        <w:footnoteReference w:id="5"/>
      </w:r>
      <w:r w:rsidR="00136294" w:rsidRPr="003761A4">
        <w:rPr>
          <w:rFonts w:ascii="Times New Roman" w:eastAsia="Times New Roman" w:hAnsi="Times New Roman" w:cs="Times New Roman"/>
          <w:sz w:val="24"/>
          <w:szCs w:val="24"/>
          <w:lang w:eastAsia="ru-RU"/>
        </w:rPr>
        <w:t>. Отдельные более долгосрочные стратегические антикризисные решения интегрируются в</w:t>
      </w:r>
      <w:r w:rsidR="0046564A" w:rsidRPr="003761A4">
        <w:rPr>
          <w:rFonts w:ascii="Times New Roman" w:eastAsia="Times New Roman" w:hAnsi="Times New Roman" w:cs="Times New Roman"/>
          <w:sz w:val="24"/>
          <w:szCs w:val="24"/>
          <w:lang w:eastAsia="ru-RU"/>
        </w:rPr>
        <w:t xml:space="preserve"> </w:t>
      </w:r>
      <w:r w:rsidR="00136294" w:rsidRPr="003761A4">
        <w:rPr>
          <w:rFonts w:ascii="Times New Roman" w:eastAsia="Times New Roman" w:hAnsi="Times New Roman" w:cs="Times New Roman"/>
          <w:sz w:val="24"/>
          <w:szCs w:val="24"/>
          <w:lang w:eastAsia="ru-RU"/>
        </w:rPr>
        <w:t>регулирование на</w:t>
      </w:r>
      <w:r w:rsidR="0046564A" w:rsidRPr="003761A4">
        <w:rPr>
          <w:rFonts w:ascii="Times New Roman" w:eastAsia="Times New Roman" w:hAnsi="Times New Roman" w:cs="Times New Roman"/>
          <w:sz w:val="24"/>
          <w:szCs w:val="24"/>
          <w:lang w:eastAsia="ru-RU"/>
        </w:rPr>
        <w:t xml:space="preserve"> </w:t>
      </w:r>
      <w:r w:rsidR="00136294" w:rsidRPr="003761A4">
        <w:rPr>
          <w:rFonts w:ascii="Times New Roman" w:eastAsia="Times New Roman" w:hAnsi="Times New Roman" w:cs="Times New Roman"/>
          <w:sz w:val="24"/>
          <w:szCs w:val="24"/>
          <w:lang w:eastAsia="ru-RU"/>
        </w:rPr>
        <w:t>постоянной основе.</w:t>
      </w:r>
    </w:p>
    <w:p w14:paraId="409C53DC" w14:textId="2E2E52A6" w:rsidR="00192800" w:rsidRPr="003761A4" w:rsidRDefault="00192800" w:rsidP="00192800">
      <w:pPr>
        <w:pStyle w:val="a3"/>
        <w:numPr>
          <w:ilvl w:val="0"/>
          <w:numId w:val="32"/>
        </w:numPr>
        <w:spacing w:after="120"/>
        <w:ind w:left="426" w:hanging="426"/>
        <w:rPr>
          <w:rFonts w:ascii="Times New Roman" w:eastAsia="Times New Roman" w:hAnsi="Times New Roman" w:cs="Times New Roman"/>
          <w:sz w:val="24"/>
          <w:szCs w:val="24"/>
          <w:lang w:eastAsia="ru-RU"/>
        </w:rPr>
      </w:pPr>
      <w:r w:rsidRPr="003761A4">
        <w:rPr>
          <w:rFonts w:ascii="Times New Roman" w:hAnsi="Times New Roman" w:cs="Times New Roman"/>
          <w:sz w:val="24"/>
          <w:szCs w:val="24"/>
        </w:rPr>
        <w:t>Для снижения давления на капитал и сохранения потенциала кредитования в ближайшие годы Банк России с 2023 года предоставил банкам рассрочку по формированию резервов по полностью заблокированным активам на 10 лет</w:t>
      </w:r>
      <w:r w:rsidR="0046564A" w:rsidRPr="003761A4">
        <w:rPr>
          <w:rStyle w:val="a8"/>
          <w:rFonts w:ascii="Times New Roman" w:hAnsi="Times New Roman"/>
          <w:sz w:val="24"/>
          <w:szCs w:val="24"/>
        </w:rPr>
        <w:footnoteReference w:id="6"/>
      </w:r>
      <w:r w:rsidRPr="003761A4">
        <w:rPr>
          <w:rFonts w:ascii="Times New Roman" w:hAnsi="Times New Roman" w:cs="Times New Roman"/>
          <w:sz w:val="24"/>
          <w:szCs w:val="24"/>
        </w:rPr>
        <w:t>, а также снизил надбавки к капиталу до нуля, введя пятилетний график восстановления с разумным ограничением на выплату дивидендов</w:t>
      </w:r>
      <w:r w:rsidR="0046564A" w:rsidRPr="003761A4">
        <w:rPr>
          <w:rStyle w:val="a8"/>
          <w:rFonts w:ascii="Times New Roman" w:hAnsi="Times New Roman"/>
          <w:sz w:val="24"/>
          <w:szCs w:val="24"/>
        </w:rPr>
        <w:footnoteReference w:id="7"/>
      </w:r>
      <w:r w:rsidRPr="003761A4">
        <w:rPr>
          <w:rFonts w:ascii="Times New Roman" w:hAnsi="Times New Roman" w:cs="Times New Roman"/>
          <w:sz w:val="24"/>
          <w:szCs w:val="24"/>
        </w:rPr>
        <w:t>.</w:t>
      </w:r>
    </w:p>
    <w:p w14:paraId="484A031A" w14:textId="77777777" w:rsidR="00192800" w:rsidRPr="003761A4" w:rsidRDefault="00192800" w:rsidP="00192800">
      <w:pPr>
        <w:pStyle w:val="a3"/>
        <w:spacing w:after="120"/>
        <w:ind w:left="0" w:firstLine="0"/>
        <w:rPr>
          <w:rFonts w:ascii="Times New Roman" w:eastAsia="Times New Roman" w:hAnsi="Times New Roman" w:cs="Times New Roman"/>
          <w:sz w:val="24"/>
          <w:szCs w:val="24"/>
          <w:lang w:eastAsia="ru-RU"/>
        </w:rPr>
      </w:pPr>
      <w:r w:rsidRPr="003761A4">
        <w:rPr>
          <w:rFonts w:ascii="Times New Roman" w:hAnsi="Times New Roman" w:cs="Times New Roman"/>
          <w:i/>
          <w:sz w:val="24"/>
          <w:szCs w:val="24"/>
        </w:rPr>
        <w:tab/>
      </w:r>
      <w:r w:rsidRPr="003761A4">
        <w:rPr>
          <w:rFonts w:ascii="Times New Roman" w:hAnsi="Times New Roman" w:cs="Times New Roman"/>
          <w:b/>
          <w:sz w:val="24"/>
          <w:szCs w:val="24"/>
        </w:rPr>
        <w:t xml:space="preserve">В </w:t>
      </w:r>
      <w:proofErr w:type="spellStart"/>
      <w:r w:rsidRPr="003761A4">
        <w:rPr>
          <w:rFonts w:ascii="Times New Roman" w:hAnsi="Times New Roman" w:cs="Times New Roman"/>
          <w:b/>
          <w:sz w:val="24"/>
          <w:szCs w:val="24"/>
        </w:rPr>
        <w:t>макропруденциальном</w:t>
      </w:r>
      <w:proofErr w:type="spellEnd"/>
      <w:r w:rsidRPr="003761A4">
        <w:rPr>
          <w:rFonts w:ascii="Times New Roman" w:hAnsi="Times New Roman" w:cs="Times New Roman"/>
          <w:b/>
          <w:sz w:val="24"/>
          <w:szCs w:val="24"/>
        </w:rPr>
        <w:t xml:space="preserve"> регулировании Банк России реализует </w:t>
      </w:r>
      <w:proofErr w:type="spellStart"/>
      <w:r w:rsidRPr="003761A4">
        <w:rPr>
          <w:rFonts w:ascii="Times New Roman" w:hAnsi="Times New Roman" w:cs="Times New Roman"/>
          <w:b/>
          <w:sz w:val="24"/>
          <w:szCs w:val="24"/>
        </w:rPr>
        <w:t>контрциклическую</w:t>
      </w:r>
      <w:proofErr w:type="spellEnd"/>
      <w:r w:rsidRPr="003761A4">
        <w:rPr>
          <w:rFonts w:ascii="Times New Roman" w:hAnsi="Times New Roman" w:cs="Times New Roman"/>
          <w:b/>
          <w:sz w:val="24"/>
          <w:szCs w:val="24"/>
        </w:rPr>
        <w:t xml:space="preserve"> политику. </w:t>
      </w:r>
      <w:r w:rsidRPr="003761A4">
        <w:rPr>
          <w:rFonts w:ascii="Times New Roman" w:hAnsi="Times New Roman" w:cs="Times New Roman"/>
          <w:sz w:val="24"/>
          <w:szCs w:val="24"/>
        </w:rPr>
        <w:t xml:space="preserve">Для адаптации банков к условиям кризиса в I квартале </w:t>
      </w:r>
      <w:r w:rsidRPr="003761A4">
        <w:rPr>
          <w:rFonts w:ascii="Times New Roman" w:hAnsi="Times New Roman" w:cs="Times New Roman"/>
          <w:sz w:val="24"/>
          <w:szCs w:val="24"/>
        </w:rPr>
        <w:br/>
        <w:t>2022 года был полностью</w:t>
      </w:r>
      <w:r w:rsidRPr="003761A4">
        <w:rPr>
          <w:rFonts w:ascii="Times New Roman" w:eastAsia="Times New Roman" w:hAnsi="Times New Roman" w:cs="Times New Roman"/>
          <w:sz w:val="24"/>
          <w:szCs w:val="24"/>
          <w:lang w:eastAsia="ru-RU"/>
        </w:rPr>
        <w:t xml:space="preserve"> распущен </w:t>
      </w:r>
      <w:proofErr w:type="spellStart"/>
      <w:r w:rsidRPr="003761A4">
        <w:rPr>
          <w:rFonts w:ascii="Times New Roman" w:eastAsia="Times New Roman" w:hAnsi="Times New Roman" w:cs="Times New Roman"/>
          <w:sz w:val="24"/>
          <w:szCs w:val="24"/>
          <w:lang w:eastAsia="ru-RU"/>
        </w:rPr>
        <w:t>макропруденциальный</w:t>
      </w:r>
      <w:proofErr w:type="spellEnd"/>
      <w:r w:rsidRPr="003761A4">
        <w:rPr>
          <w:rFonts w:ascii="Times New Roman" w:eastAsia="Times New Roman" w:hAnsi="Times New Roman" w:cs="Times New Roman"/>
          <w:sz w:val="24"/>
          <w:szCs w:val="24"/>
          <w:lang w:eastAsia="ru-RU"/>
        </w:rPr>
        <w:t xml:space="preserve"> буфер капитала в размере около 900 млрд руб. – для этого были отменены надбавки к коэффициентам риска по всем кредитам, выданным до 01.03.2022. По вновь выдаваемым кредитам были снижены либо отменены </w:t>
      </w:r>
      <w:proofErr w:type="spellStart"/>
      <w:r w:rsidRPr="003761A4">
        <w:rPr>
          <w:rFonts w:ascii="Times New Roman" w:eastAsia="Times New Roman" w:hAnsi="Times New Roman" w:cs="Times New Roman"/>
          <w:sz w:val="24"/>
          <w:szCs w:val="24"/>
          <w:lang w:eastAsia="ru-RU"/>
        </w:rPr>
        <w:t>макропруденциальные</w:t>
      </w:r>
      <w:proofErr w:type="spellEnd"/>
      <w:r w:rsidRPr="003761A4">
        <w:rPr>
          <w:rFonts w:ascii="Times New Roman" w:eastAsia="Times New Roman" w:hAnsi="Times New Roman" w:cs="Times New Roman"/>
          <w:sz w:val="24"/>
          <w:szCs w:val="24"/>
          <w:lang w:eastAsia="ru-RU"/>
        </w:rPr>
        <w:t xml:space="preserve"> требования к капиталу. Эти послабления оказали поддержку кредитованию экономики.</w:t>
      </w:r>
      <w:r w:rsidRPr="003761A4">
        <w:rPr>
          <w:rFonts w:ascii="Times New Roman" w:hAnsi="Times New Roman" w:cs="Times New Roman"/>
          <w:sz w:val="24"/>
          <w:szCs w:val="24"/>
        </w:rPr>
        <w:t xml:space="preserve"> </w:t>
      </w:r>
      <w:r w:rsidRPr="003761A4">
        <w:rPr>
          <w:rFonts w:ascii="Times New Roman" w:eastAsia="Times New Roman" w:hAnsi="Times New Roman" w:cs="Times New Roman"/>
          <w:sz w:val="24"/>
          <w:szCs w:val="24"/>
          <w:lang w:eastAsia="ru-RU"/>
        </w:rPr>
        <w:t>По мере стабилизации ситуации на финансовом рынке и восстановления кредитования Банк России вернулся к политике сдерживания и ограничения системных рисков в розничном кредитовании:</w:t>
      </w:r>
    </w:p>
    <w:p w14:paraId="5A65D0AA" w14:textId="42257336" w:rsidR="00192800" w:rsidRPr="003761A4" w:rsidRDefault="00645456" w:rsidP="00192800">
      <w:pPr>
        <w:pStyle w:val="a3"/>
        <w:numPr>
          <w:ilvl w:val="0"/>
          <w:numId w:val="32"/>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С</w:t>
      </w:r>
      <w:r w:rsidR="00192800" w:rsidRPr="003761A4">
        <w:rPr>
          <w:rFonts w:ascii="Times New Roman" w:eastAsia="Times New Roman" w:hAnsi="Times New Roman" w:cs="Times New Roman"/>
          <w:sz w:val="24"/>
          <w:szCs w:val="24"/>
          <w:lang w:eastAsia="ru-RU"/>
        </w:rPr>
        <w:t xml:space="preserve"> 1 января 2023 года для банков с универсальной лицензией и микрофинансовых организаций были установлены </w:t>
      </w:r>
      <w:proofErr w:type="spellStart"/>
      <w:r w:rsidR="00192800" w:rsidRPr="003761A4">
        <w:rPr>
          <w:rFonts w:ascii="Times New Roman" w:eastAsia="Times New Roman" w:hAnsi="Times New Roman" w:cs="Times New Roman"/>
          <w:sz w:val="24"/>
          <w:szCs w:val="24"/>
          <w:lang w:eastAsia="ru-RU"/>
        </w:rPr>
        <w:t>макропруденциальные</w:t>
      </w:r>
      <w:proofErr w:type="spellEnd"/>
      <w:r w:rsidR="00192800" w:rsidRPr="003761A4">
        <w:rPr>
          <w:rFonts w:ascii="Times New Roman" w:eastAsia="Times New Roman" w:hAnsi="Times New Roman" w:cs="Times New Roman"/>
          <w:sz w:val="24"/>
          <w:szCs w:val="24"/>
          <w:lang w:eastAsia="ru-RU"/>
        </w:rPr>
        <w:t xml:space="preserve"> лимиты по необеспеченным потребительским кредитам (займам). В I, II кварталах 2023 года предельно допустимая доля кредитов заёмщикам с показателем долговой нагрузки (далее – ПДН) свыше 80% установлена на уровне 25% для банков и 35% для микрофинансовых организаций, кредиты на срок более 5 лет не должны превышать 10% от объема выданных банками потребительских кредитов. </w:t>
      </w:r>
      <w:r w:rsidRPr="003761A4">
        <w:rPr>
          <w:rFonts w:ascii="Times New Roman" w:eastAsia="Times New Roman" w:hAnsi="Times New Roman" w:cs="Times New Roman"/>
          <w:sz w:val="24"/>
          <w:szCs w:val="24"/>
          <w:lang w:eastAsia="ru-RU"/>
        </w:rPr>
        <w:t xml:space="preserve">С учетом того что банки успешно адаптировались к новому инструменту, а необеспеченное потребительское кредитование продолжает устойчиво расти, Банк России принял решение по дальнейшему снижению лимитов в III квартале: доля кредитов с ПДН более 80% не должна будет превышать 20% предоставленных в III квартале кредитов (30% для МФО), а доля кредитов на срок более 5 лет – 5%. </w:t>
      </w:r>
      <w:r w:rsidR="00192800" w:rsidRPr="003761A4">
        <w:rPr>
          <w:rFonts w:ascii="Times New Roman" w:eastAsia="Times New Roman" w:hAnsi="Times New Roman" w:cs="Times New Roman"/>
          <w:sz w:val="24"/>
          <w:szCs w:val="24"/>
          <w:lang w:eastAsia="ru-RU"/>
        </w:rPr>
        <w:t xml:space="preserve">Введение </w:t>
      </w:r>
      <w:proofErr w:type="spellStart"/>
      <w:r w:rsidR="00192800" w:rsidRPr="003761A4">
        <w:rPr>
          <w:rFonts w:ascii="Times New Roman" w:eastAsia="Times New Roman" w:hAnsi="Times New Roman" w:cs="Times New Roman"/>
          <w:sz w:val="24"/>
          <w:szCs w:val="24"/>
          <w:lang w:eastAsia="ru-RU"/>
        </w:rPr>
        <w:t>макропруденциальных</w:t>
      </w:r>
      <w:proofErr w:type="spellEnd"/>
      <w:r w:rsidR="00192800" w:rsidRPr="003761A4">
        <w:rPr>
          <w:rFonts w:ascii="Times New Roman" w:eastAsia="Times New Roman" w:hAnsi="Times New Roman" w:cs="Times New Roman"/>
          <w:sz w:val="24"/>
          <w:szCs w:val="24"/>
          <w:lang w:eastAsia="ru-RU"/>
        </w:rPr>
        <w:t xml:space="preserve"> лимитов сделает структуру потребительского кредитования и микрофинансирования более сбалансированной, не создавая при этом дополнительных требований к капиталу банков и микрофинансовых организаций, при условии соблюдения лимитов. Параметры </w:t>
      </w:r>
      <w:proofErr w:type="spellStart"/>
      <w:r w:rsidR="00192800" w:rsidRPr="003761A4">
        <w:rPr>
          <w:rFonts w:ascii="Times New Roman" w:eastAsia="Times New Roman" w:hAnsi="Times New Roman" w:cs="Times New Roman"/>
          <w:sz w:val="24"/>
          <w:szCs w:val="24"/>
          <w:lang w:eastAsia="ru-RU"/>
        </w:rPr>
        <w:t>макропруденциальных</w:t>
      </w:r>
      <w:proofErr w:type="spellEnd"/>
      <w:r w:rsidR="00192800" w:rsidRPr="003761A4">
        <w:rPr>
          <w:rFonts w:ascii="Times New Roman" w:eastAsia="Times New Roman" w:hAnsi="Times New Roman" w:cs="Times New Roman"/>
          <w:sz w:val="24"/>
          <w:szCs w:val="24"/>
          <w:lang w:eastAsia="ru-RU"/>
        </w:rPr>
        <w:t xml:space="preserve"> лимитов будут ежеквартально пересматриваться, соответствующие решения Банка России будут своевременно доводиться до сведения участников рынка. </w:t>
      </w:r>
    </w:p>
    <w:p w14:paraId="0F02E9E5" w14:textId="73072624" w:rsidR="00192800" w:rsidRPr="003761A4" w:rsidRDefault="00192800" w:rsidP="00192800">
      <w:pPr>
        <w:pStyle w:val="a3"/>
        <w:numPr>
          <w:ilvl w:val="0"/>
          <w:numId w:val="32"/>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В целях увеличения продаж на первичном рынке, застройщики и банки в 2022 году начали дополнительно стимулировать спрос, используя рискованные маркетинговые акции («льготная ипотека от застройщика», «</w:t>
      </w:r>
      <w:proofErr w:type="spellStart"/>
      <w:r w:rsidRPr="003761A4">
        <w:rPr>
          <w:rFonts w:ascii="Times New Roman" w:eastAsia="Times New Roman" w:hAnsi="Times New Roman" w:cs="Times New Roman"/>
          <w:sz w:val="24"/>
          <w:szCs w:val="24"/>
          <w:lang w:eastAsia="ru-RU"/>
        </w:rPr>
        <w:t>траншевая</w:t>
      </w:r>
      <w:proofErr w:type="spellEnd"/>
      <w:r w:rsidRPr="003761A4">
        <w:rPr>
          <w:rFonts w:ascii="Times New Roman" w:eastAsia="Times New Roman" w:hAnsi="Times New Roman" w:cs="Times New Roman"/>
          <w:sz w:val="24"/>
          <w:szCs w:val="24"/>
          <w:lang w:eastAsia="ru-RU"/>
        </w:rPr>
        <w:t xml:space="preserve"> ипотека», ипотека без первоначального взноса). В результате разрыв между ценами на жилье на первичном и вторичном рынке в РФ возрос до 30%</w:t>
      </w:r>
      <w:r w:rsidR="00645456" w:rsidRPr="003761A4">
        <w:rPr>
          <w:rFonts w:ascii="Times New Roman" w:eastAsia="Times New Roman" w:hAnsi="Times New Roman" w:cs="Times New Roman"/>
          <w:sz w:val="24"/>
          <w:szCs w:val="24"/>
          <w:lang w:eastAsia="ru-RU"/>
        </w:rPr>
        <w:t xml:space="preserve"> (40% в </w:t>
      </w:r>
      <w:r w:rsidR="00645456" w:rsidRPr="003761A4">
        <w:rPr>
          <w:rFonts w:ascii="Times New Roman" w:eastAsia="Times New Roman" w:hAnsi="Times New Roman" w:cs="Times New Roman"/>
          <w:sz w:val="24"/>
          <w:szCs w:val="24"/>
          <w:lang w:val="en-US" w:eastAsia="ru-RU"/>
        </w:rPr>
        <w:t>I</w:t>
      </w:r>
      <w:r w:rsidR="00645456" w:rsidRPr="003761A4">
        <w:rPr>
          <w:rFonts w:ascii="Times New Roman" w:eastAsia="Times New Roman" w:hAnsi="Times New Roman" w:cs="Times New Roman"/>
          <w:sz w:val="24"/>
          <w:szCs w:val="24"/>
          <w:lang w:eastAsia="ru-RU"/>
        </w:rPr>
        <w:t xml:space="preserve"> квартале 2023 года)</w:t>
      </w:r>
      <w:r w:rsidRPr="003761A4">
        <w:rPr>
          <w:rFonts w:ascii="Times New Roman" w:eastAsia="Times New Roman" w:hAnsi="Times New Roman" w:cs="Times New Roman"/>
          <w:sz w:val="24"/>
          <w:szCs w:val="24"/>
          <w:lang w:eastAsia="ru-RU"/>
        </w:rPr>
        <w:t>. Банк России ужесточи</w:t>
      </w:r>
      <w:r w:rsidR="00645456" w:rsidRPr="003761A4">
        <w:rPr>
          <w:rFonts w:ascii="Times New Roman" w:eastAsia="Times New Roman" w:hAnsi="Times New Roman" w:cs="Times New Roman"/>
          <w:sz w:val="24"/>
          <w:szCs w:val="24"/>
          <w:lang w:eastAsia="ru-RU"/>
        </w:rPr>
        <w:t>л</w:t>
      </w:r>
      <w:r w:rsidRPr="003761A4">
        <w:rPr>
          <w:rFonts w:ascii="Times New Roman" w:eastAsia="Times New Roman" w:hAnsi="Times New Roman" w:cs="Times New Roman"/>
          <w:sz w:val="24"/>
          <w:szCs w:val="24"/>
          <w:lang w:eastAsia="ru-RU"/>
        </w:rPr>
        <w:t xml:space="preserve"> регулирование в отношении подобных ипотечных программ</w:t>
      </w:r>
      <w:r w:rsidR="00645456" w:rsidRPr="003761A4">
        <w:rPr>
          <w:rFonts w:ascii="Times New Roman" w:hAnsi="Times New Roman" w:cs="Times New Roman"/>
          <w:vertAlign w:val="superscript"/>
          <w:lang w:eastAsia="ru-RU"/>
        </w:rPr>
        <w:footnoteReference w:id="8"/>
      </w:r>
      <w:r w:rsidRPr="003761A4">
        <w:rPr>
          <w:rFonts w:ascii="Times New Roman" w:eastAsia="Times New Roman" w:hAnsi="Times New Roman" w:cs="Times New Roman"/>
          <w:sz w:val="24"/>
          <w:szCs w:val="24"/>
          <w:lang w:eastAsia="ru-RU"/>
        </w:rPr>
        <w:t xml:space="preserve">, чтобы не допустить дальнейшего распространения недобросовестных совместных практик банков и застройщиков. Установлены повышенные резервы по </w:t>
      </w:r>
      <w:r w:rsidR="00645456" w:rsidRPr="003761A4">
        <w:rPr>
          <w:rFonts w:ascii="Times New Roman" w:eastAsia="Times New Roman" w:hAnsi="Times New Roman" w:cs="Times New Roman"/>
          <w:sz w:val="24"/>
          <w:szCs w:val="24"/>
          <w:lang w:eastAsia="ru-RU"/>
        </w:rPr>
        <w:t xml:space="preserve">ипотечным </w:t>
      </w:r>
      <w:r w:rsidRPr="003761A4">
        <w:rPr>
          <w:rFonts w:ascii="Times New Roman" w:eastAsia="Times New Roman" w:hAnsi="Times New Roman" w:cs="Times New Roman"/>
          <w:sz w:val="24"/>
          <w:szCs w:val="24"/>
          <w:lang w:eastAsia="ru-RU"/>
        </w:rPr>
        <w:t>кредитам</w:t>
      </w:r>
      <w:r w:rsidR="00645456" w:rsidRPr="003761A4">
        <w:rPr>
          <w:rFonts w:ascii="Times New Roman" w:eastAsia="Times New Roman" w:hAnsi="Times New Roman" w:cs="Times New Roman"/>
          <w:sz w:val="24"/>
          <w:szCs w:val="24"/>
          <w:lang w:eastAsia="ru-RU"/>
        </w:rPr>
        <w:t>, выданным с 15 марта 2023 г., у которых показатель полной стоимости кредита существенно ниже рыночного</w:t>
      </w:r>
      <w:r w:rsidRPr="003761A4">
        <w:rPr>
          <w:rFonts w:ascii="Times New Roman" w:eastAsia="Times New Roman" w:hAnsi="Times New Roman" w:cs="Times New Roman"/>
          <w:sz w:val="24"/>
          <w:szCs w:val="24"/>
          <w:lang w:eastAsia="ru-RU"/>
        </w:rPr>
        <w:t xml:space="preserve">. </w:t>
      </w:r>
    </w:p>
    <w:p w14:paraId="7DD3AB63" w14:textId="22C4ACBD" w:rsidR="00192800" w:rsidRPr="003761A4" w:rsidRDefault="00192800" w:rsidP="00192800">
      <w:pPr>
        <w:pStyle w:val="a3"/>
        <w:numPr>
          <w:ilvl w:val="0"/>
          <w:numId w:val="32"/>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 xml:space="preserve">Для учета рисков банков, связанных с завышением стоимости жилья (прежде всего </w:t>
      </w:r>
      <w:r w:rsidR="00645456" w:rsidRPr="003761A4">
        <w:rPr>
          <w:rFonts w:ascii="Times New Roman" w:eastAsia="Times New Roman" w:hAnsi="Times New Roman" w:cs="Times New Roman"/>
          <w:sz w:val="24"/>
          <w:szCs w:val="24"/>
          <w:lang w:eastAsia="ru-RU"/>
        </w:rPr>
        <w:t>–</w:t>
      </w:r>
      <w:r w:rsidRPr="003761A4">
        <w:rPr>
          <w:rFonts w:ascii="Times New Roman" w:eastAsia="Times New Roman" w:hAnsi="Times New Roman" w:cs="Times New Roman"/>
          <w:sz w:val="24"/>
          <w:szCs w:val="24"/>
          <w:lang w:eastAsia="ru-RU"/>
        </w:rPr>
        <w:t xml:space="preserve"> на первичном рынке), Банком России были повышены </w:t>
      </w:r>
      <w:proofErr w:type="spellStart"/>
      <w:r w:rsidRPr="003761A4">
        <w:rPr>
          <w:rFonts w:ascii="Times New Roman" w:eastAsia="Times New Roman" w:hAnsi="Times New Roman" w:cs="Times New Roman"/>
          <w:sz w:val="24"/>
          <w:szCs w:val="24"/>
          <w:lang w:eastAsia="ru-RU"/>
        </w:rPr>
        <w:t>макропруденциальные</w:t>
      </w:r>
      <w:proofErr w:type="spellEnd"/>
      <w:r w:rsidRPr="003761A4">
        <w:rPr>
          <w:rFonts w:ascii="Times New Roman" w:eastAsia="Times New Roman" w:hAnsi="Times New Roman" w:cs="Times New Roman"/>
          <w:sz w:val="24"/>
          <w:szCs w:val="24"/>
          <w:lang w:eastAsia="ru-RU"/>
        </w:rPr>
        <w:t xml:space="preserve"> требования по кредитам с низким первоначальным взносом. Так, в отношении ипотечных кредитов с низким первоначальным взносом (менее 10%) на приобретение строящегося жилья</w:t>
      </w:r>
      <w:r w:rsidRPr="003761A4">
        <w:rPr>
          <w:vertAlign w:val="superscript"/>
        </w:rPr>
        <w:footnoteReference w:id="9"/>
      </w:r>
      <w:r w:rsidRPr="003761A4">
        <w:rPr>
          <w:rFonts w:ascii="Times New Roman" w:eastAsia="Times New Roman" w:hAnsi="Times New Roman" w:cs="Times New Roman"/>
          <w:sz w:val="24"/>
          <w:szCs w:val="24"/>
          <w:lang w:eastAsia="ru-RU"/>
        </w:rPr>
        <w:t xml:space="preserve">, уже с 01.12.2022 установлена «запретительная» надбавка к коэффициенту риска в размере 200%. Эта мера ограничила распространение ипотеки без первоначального взноса. С 1 мая 2023 года повышены </w:t>
      </w:r>
      <w:proofErr w:type="spellStart"/>
      <w:r w:rsidRPr="003761A4">
        <w:rPr>
          <w:rFonts w:ascii="Times New Roman" w:eastAsia="Times New Roman" w:hAnsi="Times New Roman" w:cs="Times New Roman"/>
          <w:sz w:val="24"/>
          <w:szCs w:val="24"/>
          <w:lang w:eastAsia="ru-RU"/>
        </w:rPr>
        <w:t>макропруденциальные</w:t>
      </w:r>
      <w:proofErr w:type="spellEnd"/>
      <w:r w:rsidRPr="003761A4">
        <w:rPr>
          <w:rFonts w:ascii="Times New Roman" w:eastAsia="Times New Roman" w:hAnsi="Times New Roman" w:cs="Times New Roman"/>
          <w:sz w:val="24"/>
          <w:szCs w:val="24"/>
          <w:lang w:eastAsia="ru-RU"/>
        </w:rPr>
        <w:t xml:space="preserve"> требования к капиталу уже по большей части кредитов (с </w:t>
      </w:r>
      <w:r w:rsidRPr="003761A4">
        <w:rPr>
          <w:rFonts w:ascii="Times New Roman" w:eastAsia="Times New Roman" w:hAnsi="Times New Roman" w:cs="Times New Roman"/>
          <w:sz w:val="24"/>
          <w:szCs w:val="24"/>
          <w:lang w:val="en-US" w:eastAsia="ru-RU"/>
        </w:rPr>
        <w:t>LTV</w:t>
      </w:r>
      <w:r w:rsidRPr="003761A4">
        <w:rPr>
          <w:rFonts w:ascii="Times New Roman" w:eastAsia="Times New Roman" w:hAnsi="Times New Roman" w:cs="Times New Roman"/>
          <w:sz w:val="24"/>
          <w:szCs w:val="24"/>
          <w:lang w:eastAsia="ru-RU"/>
        </w:rPr>
        <w:t xml:space="preserve"> более 70%).</w:t>
      </w:r>
    </w:p>
    <w:p w14:paraId="3B3086B2" w14:textId="77777777" w:rsidR="00192800" w:rsidRPr="003761A4" w:rsidRDefault="00192800" w:rsidP="00192800">
      <w:pPr>
        <w:keepNext/>
        <w:spacing w:after="120"/>
        <w:ind w:firstLine="0"/>
        <w:rPr>
          <w:rFonts w:ascii="Times New Roman" w:hAnsi="Times New Roman" w:cs="Times New Roman"/>
          <w:b/>
          <w:sz w:val="24"/>
          <w:szCs w:val="24"/>
        </w:rPr>
      </w:pPr>
      <w:r w:rsidRPr="003761A4">
        <w:rPr>
          <w:rFonts w:ascii="Times New Roman" w:hAnsi="Times New Roman" w:cs="Times New Roman"/>
          <w:b/>
          <w:sz w:val="24"/>
          <w:szCs w:val="24"/>
        </w:rPr>
        <w:t>1.2. Состояние банковского сектора в 2022 году</w:t>
      </w:r>
    </w:p>
    <w:p w14:paraId="4FAC3879" w14:textId="77777777" w:rsidR="00192800" w:rsidRPr="003761A4" w:rsidRDefault="00192800" w:rsidP="00192800">
      <w:pPr>
        <w:keepNext/>
        <w:spacing w:after="120"/>
        <w:ind w:firstLine="0"/>
        <w:rPr>
          <w:rFonts w:ascii="Times New Roman" w:hAnsi="Times New Roman" w:cs="Times New Roman"/>
          <w:b/>
          <w:sz w:val="24"/>
          <w:szCs w:val="24"/>
        </w:rPr>
      </w:pPr>
      <w:r w:rsidRPr="003761A4">
        <w:rPr>
          <w:rFonts w:ascii="Times New Roman" w:hAnsi="Times New Roman" w:cs="Times New Roman"/>
          <w:b/>
          <w:sz w:val="24"/>
          <w:szCs w:val="24"/>
        </w:rPr>
        <w:t xml:space="preserve">Корпоративное кредитование в 2022 году росло активнее, чем в 2021 году, при этом произошла значительная </w:t>
      </w:r>
      <w:proofErr w:type="spellStart"/>
      <w:r w:rsidRPr="003761A4">
        <w:rPr>
          <w:rFonts w:ascii="Times New Roman" w:hAnsi="Times New Roman" w:cs="Times New Roman"/>
          <w:b/>
          <w:sz w:val="24"/>
          <w:szCs w:val="24"/>
        </w:rPr>
        <w:t>девалютизация</w:t>
      </w:r>
      <w:proofErr w:type="spellEnd"/>
      <w:r w:rsidRPr="003761A4">
        <w:rPr>
          <w:rFonts w:ascii="Times New Roman" w:hAnsi="Times New Roman" w:cs="Times New Roman"/>
          <w:b/>
          <w:sz w:val="24"/>
          <w:szCs w:val="24"/>
        </w:rPr>
        <w:t xml:space="preserve"> портфеля</w:t>
      </w:r>
    </w:p>
    <w:p w14:paraId="1CFF63AF" w14:textId="77777777" w:rsidR="00192800" w:rsidRPr="003761A4" w:rsidRDefault="00192800" w:rsidP="00192800">
      <w:pPr>
        <w:pStyle w:val="a3"/>
        <w:numPr>
          <w:ilvl w:val="0"/>
          <w:numId w:val="32"/>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 xml:space="preserve">В целом за 2022 год корпоративные кредиты выросли на 14,3%, что значительно выше 2021 года (+11,7%). Рост был во многом обусловлен господдержкой кредитования системообразующих предприятий (всего за 2022 год таких кредитов выдано на сумму свыше 1,5 трлн руб.), наращиванием проектного финансирования жилищного строительства (+2,2 трлн руб.), а также замещением внешних заимствований и финансированием крупных инвестиционных проектов. </w:t>
      </w:r>
    </w:p>
    <w:p w14:paraId="0C9FEF5E" w14:textId="24E0BF48" w:rsidR="00192800" w:rsidRPr="003761A4" w:rsidRDefault="00192800" w:rsidP="00192800">
      <w:pPr>
        <w:pStyle w:val="a3"/>
        <w:numPr>
          <w:ilvl w:val="0"/>
          <w:numId w:val="32"/>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 xml:space="preserve">За </w:t>
      </w:r>
      <w:r w:rsidR="00AB5DD0" w:rsidRPr="003761A4">
        <w:rPr>
          <w:rFonts w:ascii="Times New Roman" w:eastAsia="Times New Roman" w:hAnsi="Times New Roman" w:cs="Times New Roman"/>
          <w:sz w:val="24"/>
          <w:szCs w:val="24"/>
          <w:lang w:eastAsia="ru-RU"/>
        </w:rPr>
        <w:t>4</w:t>
      </w:r>
      <w:r w:rsidRPr="003761A4">
        <w:rPr>
          <w:rFonts w:ascii="Times New Roman" w:eastAsia="Times New Roman" w:hAnsi="Times New Roman" w:cs="Times New Roman"/>
          <w:sz w:val="24"/>
          <w:szCs w:val="24"/>
          <w:lang w:eastAsia="ru-RU"/>
        </w:rPr>
        <w:t xml:space="preserve"> месяца 2023 года корпоративные кредиты увеличились на</w:t>
      </w:r>
      <w:r w:rsidR="00AB5DD0" w:rsidRPr="003761A4">
        <w:rPr>
          <w:rFonts w:ascii="Times New Roman" w:eastAsia="Times New Roman" w:hAnsi="Times New Roman" w:cs="Times New Roman"/>
          <w:sz w:val="24"/>
          <w:szCs w:val="24"/>
          <w:lang w:eastAsia="ru-RU"/>
        </w:rPr>
        <w:t xml:space="preserve"> 4,5%, что выше аналогичного периода 2022 года (+2,0%). Были прокредитованы компании широкого круга отраслей.</w:t>
      </w:r>
      <w:r w:rsidRPr="003761A4">
        <w:rPr>
          <w:rFonts w:ascii="Times New Roman" w:eastAsia="Times New Roman" w:hAnsi="Times New Roman" w:cs="Times New Roman"/>
          <w:sz w:val="24"/>
          <w:szCs w:val="24"/>
          <w:lang w:eastAsia="ru-RU"/>
        </w:rPr>
        <w:t xml:space="preserve"> </w:t>
      </w:r>
    </w:p>
    <w:p w14:paraId="6EAEA4DD" w14:textId="77777777" w:rsidR="00192800" w:rsidRPr="003761A4" w:rsidRDefault="00192800" w:rsidP="00192800">
      <w:pPr>
        <w:pStyle w:val="a3"/>
        <w:numPr>
          <w:ilvl w:val="0"/>
          <w:numId w:val="32"/>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 xml:space="preserve">При </w:t>
      </w:r>
      <w:proofErr w:type="gramStart"/>
      <w:r w:rsidRPr="003761A4">
        <w:rPr>
          <w:rFonts w:ascii="Times New Roman" w:eastAsia="Times New Roman" w:hAnsi="Times New Roman" w:cs="Times New Roman"/>
          <w:sz w:val="24"/>
          <w:szCs w:val="24"/>
          <w:lang w:eastAsia="ru-RU"/>
        </w:rPr>
        <w:t>этом</w:t>
      </w:r>
      <w:proofErr w:type="gramEnd"/>
      <w:r w:rsidRPr="003761A4">
        <w:rPr>
          <w:rFonts w:ascii="Times New Roman" w:eastAsia="Times New Roman" w:hAnsi="Times New Roman" w:cs="Times New Roman"/>
          <w:sz w:val="24"/>
          <w:szCs w:val="24"/>
          <w:lang w:eastAsia="ru-RU"/>
        </w:rPr>
        <w:t xml:space="preserve"> как и в прошлом году росли только кредиты в рублях, тогда как валютные кредиты продолжали снижаться. </w:t>
      </w:r>
    </w:p>
    <w:p w14:paraId="3CF7A992" w14:textId="546C303B" w:rsidR="00192800" w:rsidRPr="003761A4" w:rsidRDefault="00192800" w:rsidP="00192800">
      <w:pPr>
        <w:pStyle w:val="a3"/>
        <w:numPr>
          <w:ilvl w:val="0"/>
          <w:numId w:val="32"/>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С учетом изменившихся внешних условий доля корпоративных кредитов в валюте сократилась до 16,</w:t>
      </w:r>
      <w:r w:rsidR="00AB5DD0" w:rsidRPr="003761A4">
        <w:rPr>
          <w:rFonts w:ascii="Times New Roman" w:eastAsia="Times New Roman" w:hAnsi="Times New Roman" w:cs="Times New Roman"/>
          <w:sz w:val="24"/>
          <w:szCs w:val="24"/>
          <w:lang w:eastAsia="ru-RU"/>
        </w:rPr>
        <w:t>5</w:t>
      </w:r>
      <w:r w:rsidRPr="003761A4">
        <w:rPr>
          <w:rFonts w:ascii="Times New Roman" w:eastAsia="Times New Roman" w:hAnsi="Times New Roman" w:cs="Times New Roman"/>
          <w:sz w:val="24"/>
          <w:szCs w:val="24"/>
          <w:lang w:eastAsia="ru-RU"/>
        </w:rPr>
        <w:t>% на 01.0</w:t>
      </w:r>
      <w:r w:rsidR="00AB5DD0" w:rsidRPr="003761A4">
        <w:rPr>
          <w:rFonts w:ascii="Times New Roman" w:eastAsia="Times New Roman" w:hAnsi="Times New Roman" w:cs="Times New Roman"/>
          <w:sz w:val="24"/>
          <w:szCs w:val="24"/>
          <w:lang w:eastAsia="ru-RU"/>
        </w:rPr>
        <w:t>5</w:t>
      </w:r>
      <w:r w:rsidRPr="003761A4">
        <w:rPr>
          <w:rFonts w:ascii="Times New Roman" w:eastAsia="Times New Roman" w:hAnsi="Times New Roman" w:cs="Times New Roman"/>
          <w:sz w:val="24"/>
          <w:szCs w:val="24"/>
          <w:lang w:eastAsia="ru-RU"/>
        </w:rPr>
        <w:t>.2023 с 23,5% на начало 2022 года в основном за счет конвертации в рубли ранее выданных кредитов в долларах и евро.</w:t>
      </w:r>
    </w:p>
    <w:p w14:paraId="0431267A" w14:textId="77777777" w:rsidR="00192800" w:rsidRPr="003761A4" w:rsidRDefault="00192800" w:rsidP="00192800">
      <w:pPr>
        <w:keepNext/>
        <w:spacing w:after="120"/>
        <w:ind w:firstLine="0"/>
        <w:rPr>
          <w:rFonts w:ascii="Times New Roman" w:hAnsi="Times New Roman" w:cs="Times New Roman"/>
          <w:b/>
          <w:sz w:val="24"/>
          <w:szCs w:val="24"/>
        </w:rPr>
      </w:pPr>
      <w:r w:rsidRPr="003761A4">
        <w:rPr>
          <w:rFonts w:ascii="Times New Roman" w:hAnsi="Times New Roman" w:cs="Times New Roman"/>
          <w:b/>
          <w:sz w:val="24"/>
          <w:szCs w:val="24"/>
        </w:rPr>
        <w:t>Розница сильно замедлилась в 2022 году: основным драйвером была ипотека, а потребительское кредитование стагнировало</w:t>
      </w:r>
    </w:p>
    <w:p w14:paraId="6C9DC107" w14:textId="0C2A68A0" w:rsidR="00192800" w:rsidRPr="003761A4" w:rsidRDefault="00192800" w:rsidP="00192800">
      <w:pPr>
        <w:pStyle w:val="a3"/>
        <w:numPr>
          <w:ilvl w:val="0"/>
          <w:numId w:val="32"/>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Прирост розничного портфеля в целом за 2022 год составил 9,5%, что в 2,5 раза ниже, чем в 2021 году (+23%). Сказались рост неопределенности и ужесточение кредитных политик банков весной и осенью. За январь-</w:t>
      </w:r>
      <w:r w:rsidR="00AB5DD0" w:rsidRPr="003761A4">
        <w:rPr>
          <w:rFonts w:ascii="Times New Roman" w:eastAsia="Times New Roman" w:hAnsi="Times New Roman" w:cs="Times New Roman"/>
          <w:sz w:val="24"/>
          <w:szCs w:val="24"/>
          <w:lang w:eastAsia="ru-RU"/>
        </w:rPr>
        <w:t>апрель</w:t>
      </w:r>
      <w:r w:rsidRPr="003761A4">
        <w:rPr>
          <w:rFonts w:ascii="Times New Roman" w:eastAsia="Times New Roman" w:hAnsi="Times New Roman" w:cs="Times New Roman"/>
          <w:sz w:val="24"/>
          <w:szCs w:val="24"/>
          <w:lang w:eastAsia="ru-RU"/>
        </w:rPr>
        <w:t xml:space="preserve"> 2023 года прирост составил </w:t>
      </w:r>
      <w:r w:rsidR="00AB5DD0" w:rsidRPr="003761A4">
        <w:rPr>
          <w:rFonts w:ascii="Times New Roman" w:eastAsia="Times New Roman" w:hAnsi="Times New Roman" w:cs="Times New Roman"/>
          <w:sz w:val="24"/>
          <w:szCs w:val="24"/>
          <w:lang w:eastAsia="ru-RU"/>
        </w:rPr>
        <w:t>5,0</w:t>
      </w:r>
      <w:r w:rsidRPr="003761A4">
        <w:rPr>
          <w:rFonts w:ascii="Times New Roman" w:eastAsia="Times New Roman" w:hAnsi="Times New Roman" w:cs="Times New Roman"/>
          <w:sz w:val="24"/>
          <w:szCs w:val="24"/>
          <w:lang w:eastAsia="ru-RU"/>
        </w:rPr>
        <w:t>%.</w:t>
      </w:r>
    </w:p>
    <w:p w14:paraId="7B0317E9" w14:textId="08E654C7" w:rsidR="00192800" w:rsidRPr="003761A4" w:rsidRDefault="00192800" w:rsidP="00192800">
      <w:pPr>
        <w:pStyle w:val="a3"/>
        <w:numPr>
          <w:ilvl w:val="0"/>
          <w:numId w:val="32"/>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Ипотечные кредиты с поправкой на сделки секьюритизации выросли за 2022 год на 20,4% – это высокий результат с учетом всех обстоятельств, хоть и на треть ниже результата за 2021 год (+30,7%). Росту ипотечных кредитов во многом способствовали субсидируемые государством программы. В январе-</w:t>
      </w:r>
      <w:r w:rsidR="00AB5DD0" w:rsidRPr="003761A4">
        <w:rPr>
          <w:rFonts w:ascii="Times New Roman" w:eastAsia="Times New Roman" w:hAnsi="Times New Roman" w:cs="Times New Roman"/>
          <w:sz w:val="24"/>
          <w:szCs w:val="24"/>
          <w:lang w:eastAsia="ru-RU"/>
        </w:rPr>
        <w:t>апреле</w:t>
      </w:r>
      <w:r w:rsidRPr="003761A4">
        <w:rPr>
          <w:rFonts w:ascii="Times New Roman" w:eastAsia="Times New Roman" w:hAnsi="Times New Roman" w:cs="Times New Roman"/>
          <w:sz w:val="24"/>
          <w:szCs w:val="24"/>
          <w:lang w:eastAsia="ru-RU"/>
        </w:rPr>
        <w:t xml:space="preserve"> 2023 года </w:t>
      </w:r>
      <w:r w:rsidR="00BC32F5" w:rsidRPr="003761A4">
        <w:rPr>
          <w:rFonts w:ascii="Times New Roman" w:eastAsia="Times New Roman" w:hAnsi="Times New Roman" w:cs="Times New Roman"/>
          <w:sz w:val="24"/>
          <w:szCs w:val="24"/>
          <w:lang w:eastAsia="ru-RU"/>
        </w:rPr>
        <w:t>ипотечный портфель в целом вырос на 6,4%.</w:t>
      </w:r>
    </w:p>
    <w:p w14:paraId="40B934EA" w14:textId="41164C6E" w:rsidR="00192800" w:rsidRPr="003761A4" w:rsidRDefault="00192800" w:rsidP="00133E70">
      <w:pPr>
        <w:pStyle w:val="a3"/>
        <w:numPr>
          <w:ilvl w:val="0"/>
          <w:numId w:val="32"/>
        </w:numPr>
        <w:spacing w:before="100" w:beforeAutospacing="1" w:after="120"/>
        <w:ind w:left="426" w:hanging="426"/>
        <w:contextualSpacing w:val="0"/>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 xml:space="preserve">Годовой темп роста потребительского кредитования составил всего 2,7%, что гораздо ниже результатов 2021 года (20,1%). Причинами послужили весенняя «просадка» </w:t>
      </w:r>
      <w:r w:rsidRPr="003761A4">
        <w:rPr>
          <w:rFonts w:ascii="Times New Roman" w:eastAsia="Times New Roman" w:hAnsi="Times New Roman" w:cs="Times New Roman"/>
          <w:sz w:val="24"/>
          <w:szCs w:val="24"/>
          <w:lang w:eastAsia="ru-RU"/>
        </w:rPr>
        <w:br/>
        <w:t>(-3,7% суммарно за период с марта по май 2022 года) и замедление роста осенью после ужесточения кредитной политики банков в связи с ростом неопределенности и снижением уверенности населения.</w:t>
      </w:r>
      <w:r w:rsidR="00BC32F5" w:rsidRPr="003761A4">
        <w:rPr>
          <w:rFonts w:ascii="Times New Roman" w:eastAsia="Times New Roman" w:hAnsi="Times New Roman" w:cs="Times New Roman"/>
          <w:sz w:val="24"/>
          <w:szCs w:val="24"/>
          <w:lang w:eastAsia="ru-RU"/>
        </w:rPr>
        <w:t xml:space="preserve"> </w:t>
      </w:r>
      <w:r w:rsidR="00BC32F5" w:rsidRPr="003761A4">
        <w:rPr>
          <w:rFonts w:ascii="Times New Roman" w:hAnsi="Times New Roman" w:cs="Times New Roman"/>
          <w:sz w:val="24"/>
          <w:szCs w:val="24"/>
        </w:rPr>
        <w:t xml:space="preserve">За 4 месяца 2023 года потребительское кредитование начало восстанавливаться – рост составил 3,7%, что в целом не очень высоко ввиду необходимости соблюдения </w:t>
      </w:r>
      <w:proofErr w:type="spellStart"/>
      <w:r w:rsidR="00BC32F5" w:rsidRPr="003761A4">
        <w:rPr>
          <w:rFonts w:ascii="Times New Roman" w:hAnsi="Times New Roman" w:cs="Times New Roman"/>
          <w:sz w:val="24"/>
          <w:szCs w:val="24"/>
        </w:rPr>
        <w:t>макропруденциальных</w:t>
      </w:r>
      <w:proofErr w:type="spellEnd"/>
      <w:r w:rsidR="00BC32F5" w:rsidRPr="003761A4">
        <w:rPr>
          <w:rFonts w:ascii="Times New Roman" w:hAnsi="Times New Roman" w:cs="Times New Roman"/>
          <w:sz w:val="24"/>
          <w:szCs w:val="24"/>
        </w:rPr>
        <w:t xml:space="preserve"> лимитов</w:t>
      </w:r>
      <w:r w:rsidR="000F70E3" w:rsidRPr="003761A4">
        <w:rPr>
          <w:rFonts w:ascii="Times New Roman" w:hAnsi="Times New Roman" w:cs="Times New Roman"/>
          <w:sz w:val="24"/>
          <w:szCs w:val="24"/>
        </w:rPr>
        <w:t xml:space="preserve"> (МПЛ)</w:t>
      </w:r>
      <w:r w:rsidR="00BC32F5" w:rsidRPr="003761A4">
        <w:rPr>
          <w:rFonts w:ascii="Times New Roman" w:hAnsi="Times New Roman" w:cs="Times New Roman"/>
          <w:sz w:val="24"/>
          <w:szCs w:val="24"/>
        </w:rPr>
        <w:t>, ограничивающих выдачи высокорискованных кредитов</w:t>
      </w:r>
      <w:r w:rsidR="00BC32F5" w:rsidRPr="003761A4">
        <w:rPr>
          <w:rStyle w:val="a8"/>
          <w:rFonts w:ascii="Times New Roman" w:hAnsi="Times New Roman"/>
          <w:sz w:val="24"/>
          <w:szCs w:val="24"/>
        </w:rPr>
        <w:footnoteReference w:id="10"/>
      </w:r>
      <w:r w:rsidR="00BC32F5" w:rsidRPr="003761A4">
        <w:rPr>
          <w:rFonts w:ascii="Times New Roman" w:hAnsi="Times New Roman" w:cs="Times New Roman"/>
          <w:sz w:val="24"/>
          <w:szCs w:val="24"/>
        </w:rPr>
        <w:t xml:space="preserve"> и невысокой потребительской активности в течение января-февраля.</w:t>
      </w:r>
      <w:r w:rsidRPr="003761A4">
        <w:rPr>
          <w:rFonts w:ascii="Times New Roman" w:eastAsia="Times New Roman" w:hAnsi="Times New Roman" w:cs="Times New Roman"/>
          <w:sz w:val="24"/>
          <w:szCs w:val="24"/>
          <w:lang w:eastAsia="ru-RU"/>
        </w:rPr>
        <w:t xml:space="preserve"> </w:t>
      </w:r>
    </w:p>
    <w:p w14:paraId="1C2FC4CF" w14:textId="77777777" w:rsidR="00192800" w:rsidRPr="003761A4" w:rsidRDefault="00192800" w:rsidP="00192800">
      <w:pPr>
        <w:keepNext/>
        <w:spacing w:after="120"/>
        <w:ind w:firstLine="0"/>
        <w:rPr>
          <w:rFonts w:ascii="Times New Roman" w:hAnsi="Times New Roman" w:cs="Times New Roman"/>
          <w:b/>
          <w:sz w:val="24"/>
          <w:szCs w:val="24"/>
        </w:rPr>
      </w:pPr>
      <w:r w:rsidRPr="003761A4">
        <w:rPr>
          <w:rFonts w:ascii="Times New Roman" w:hAnsi="Times New Roman" w:cs="Times New Roman"/>
          <w:b/>
          <w:sz w:val="24"/>
          <w:szCs w:val="24"/>
        </w:rPr>
        <w:t xml:space="preserve">За счет рекордного притока средств населения в декабре 2022 года годовой прирост вкладов превысил значение 2021 года </w:t>
      </w:r>
    </w:p>
    <w:p w14:paraId="6F9DFDD5" w14:textId="33D0730C" w:rsidR="00192800" w:rsidRPr="003761A4" w:rsidRDefault="00192800" w:rsidP="00192800">
      <w:pPr>
        <w:pStyle w:val="a3"/>
        <w:numPr>
          <w:ilvl w:val="0"/>
          <w:numId w:val="32"/>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 xml:space="preserve">В 2022 году средства физлиц (без счетов </w:t>
      </w:r>
      <w:proofErr w:type="spellStart"/>
      <w:r w:rsidRPr="003761A4">
        <w:rPr>
          <w:rFonts w:ascii="Times New Roman" w:eastAsia="Times New Roman" w:hAnsi="Times New Roman" w:cs="Times New Roman"/>
          <w:sz w:val="24"/>
          <w:szCs w:val="24"/>
          <w:lang w:eastAsia="ru-RU"/>
        </w:rPr>
        <w:t>эскроу</w:t>
      </w:r>
      <w:proofErr w:type="spellEnd"/>
      <w:r w:rsidRPr="003761A4">
        <w:rPr>
          <w:rFonts w:ascii="Times New Roman" w:eastAsia="Times New Roman" w:hAnsi="Times New Roman" w:cs="Times New Roman"/>
          <w:sz w:val="24"/>
          <w:szCs w:val="24"/>
          <w:lang w:eastAsia="ru-RU"/>
        </w:rPr>
        <w:t xml:space="preserve">) выросли на 6,9%, что даже </w:t>
      </w:r>
      <w:proofErr w:type="gramStart"/>
      <w:r w:rsidRPr="003761A4">
        <w:rPr>
          <w:rFonts w:ascii="Times New Roman" w:eastAsia="Times New Roman" w:hAnsi="Times New Roman" w:cs="Times New Roman"/>
          <w:sz w:val="24"/>
          <w:szCs w:val="24"/>
          <w:lang w:eastAsia="ru-RU"/>
        </w:rPr>
        <w:t>выше</w:t>
      </w:r>
      <w:proofErr w:type="gramEnd"/>
      <w:r w:rsidRPr="003761A4">
        <w:rPr>
          <w:rFonts w:ascii="Times New Roman" w:eastAsia="Times New Roman" w:hAnsi="Times New Roman" w:cs="Times New Roman"/>
          <w:sz w:val="24"/>
          <w:szCs w:val="24"/>
          <w:lang w:eastAsia="ru-RU"/>
        </w:rPr>
        <w:t xml:space="preserve"> чем в 2021 году (+5,7%). Такой значительный прирост был обусловлен выплатами социальных пособий – в конце 2022 года Правительство Российской Федерации выделило на эти цели почти 1,5 трлн руб. (в том числе на социальные выплаты за январь 2023 года), а также авансированием пенсий за январь. </w:t>
      </w:r>
      <w:r w:rsidR="005B4BAA" w:rsidRPr="003761A4">
        <w:rPr>
          <w:rFonts w:ascii="Times New Roman" w:hAnsi="Times New Roman" w:cs="Times New Roman"/>
          <w:sz w:val="24"/>
          <w:szCs w:val="24"/>
        </w:rPr>
        <w:t>По итогам четырех месяцев 2023 года средства населения увеличились на 1,6%. Умеренный рост характерен для начала года после сезонного снижения в январе из</w:t>
      </w:r>
      <w:r w:rsidR="005B4BAA" w:rsidRPr="003761A4">
        <w:rPr>
          <w:rFonts w:ascii="Times New Roman" w:hAnsi="Times New Roman" w:cs="Times New Roman"/>
          <w:sz w:val="24"/>
          <w:szCs w:val="24"/>
        </w:rPr>
        <w:noBreakHyphen/>
      </w:r>
      <w:proofErr w:type="gramStart"/>
      <w:r w:rsidR="005B4BAA" w:rsidRPr="003761A4">
        <w:rPr>
          <w:rFonts w:ascii="Times New Roman" w:hAnsi="Times New Roman" w:cs="Times New Roman"/>
          <w:sz w:val="24"/>
          <w:szCs w:val="24"/>
        </w:rPr>
        <w:t>за длинных праздников</w:t>
      </w:r>
      <w:proofErr w:type="gramEnd"/>
      <w:r w:rsidR="005B4BAA" w:rsidRPr="003761A4">
        <w:rPr>
          <w:rFonts w:ascii="Times New Roman" w:hAnsi="Times New Roman" w:cs="Times New Roman"/>
          <w:sz w:val="24"/>
          <w:szCs w:val="24"/>
        </w:rPr>
        <w:t>.</w:t>
      </w:r>
    </w:p>
    <w:p w14:paraId="1B1FBCE8" w14:textId="77777777" w:rsidR="00192800" w:rsidRPr="003761A4" w:rsidRDefault="00192800" w:rsidP="00192800">
      <w:pPr>
        <w:keepNext/>
        <w:spacing w:after="120"/>
        <w:ind w:firstLine="0"/>
        <w:rPr>
          <w:rFonts w:ascii="Times New Roman" w:hAnsi="Times New Roman" w:cs="Times New Roman"/>
          <w:b/>
          <w:sz w:val="24"/>
          <w:szCs w:val="24"/>
        </w:rPr>
      </w:pPr>
      <w:r w:rsidRPr="003761A4">
        <w:rPr>
          <w:rFonts w:ascii="Times New Roman" w:hAnsi="Times New Roman" w:cs="Times New Roman"/>
          <w:b/>
          <w:sz w:val="24"/>
          <w:szCs w:val="24"/>
        </w:rPr>
        <w:t>Средства организаций в 2022 году росли активнее, чем в 2021 году</w:t>
      </w:r>
    </w:p>
    <w:p w14:paraId="2B9ED2BF" w14:textId="2B6D1BF7" w:rsidR="00192800" w:rsidRPr="003761A4" w:rsidRDefault="00192800" w:rsidP="005B4BAA">
      <w:pPr>
        <w:pStyle w:val="a3"/>
        <w:numPr>
          <w:ilvl w:val="0"/>
          <w:numId w:val="32"/>
        </w:numPr>
        <w:spacing w:after="120"/>
        <w:ind w:left="426" w:hanging="426"/>
        <w:contextualSpacing w:val="0"/>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 xml:space="preserve">В целом за 2022 год прирост средств компаний достиг 20,6%, что выше результата за 2021 год (+17,9%). Основной приток отмечен у нефтегазовых компаний на фоне высоких цен на энергоносители, а также вызван поступлениями по линии финансирования бюджетных расходов. </w:t>
      </w:r>
      <w:r w:rsidR="005B4BAA" w:rsidRPr="003761A4">
        <w:rPr>
          <w:rFonts w:ascii="Times New Roman" w:hAnsi="Times New Roman" w:cs="Times New Roman"/>
          <w:sz w:val="24"/>
          <w:szCs w:val="24"/>
        </w:rPr>
        <w:t>За январь-апрель 2023 года средства организаций суммарно выросли на 2,</w:t>
      </w:r>
      <w:r w:rsidR="007F53DA" w:rsidRPr="003761A4">
        <w:rPr>
          <w:rFonts w:ascii="Times New Roman" w:hAnsi="Times New Roman" w:cs="Times New Roman"/>
          <w:sz w:val="24"/>
          <w:szCs w:val="24"/>
        </w:rPr>
        <w:t>1</w:t>
      </w:r>
      <w:r w:rsidR="005B4BAA" w:rsidRPr="003761A4">
        <w:rPr>
          <w:rFonts w:ascii="Times New Roman" w:hAnsi="Times New Roman" w:cs="Times New Roman"/>
          <w:sz w:val="24"/>
          <w:szCs w:val="24"/>
        </w:rPr>
        <w:t xml:space="preserve">%, в основном из-за существенного притока в январе, связанного с поступлениями по линии финансирования бюджетных расходов, а также крупными доходами нефтегазовых компаний. </w:t>
      </w:r>
      <w:r w:rsidRPr="003761A4">
        <w:rPr>
          <w:rFonts w:ascii="Times New Roman" w:eastAsia="Times New Roman" w:hAnsi="Times New Roman" w:cs="Times New Roman"/>
          <w:sz w:val="24"/>
          <w:szCs w:val="24"/>
          <w:lang w:eastAsia="ru-RU"/>
        </w:rPr>
        <w:t>При этом росли только рублевые остатки, тогда как валютные сокращались, в том числе из-за конвертации средств отдельных клиентов из валюты в рубли. Доля валютных корпоративных средств снизилась до 2</w:t>
      </w:r>
      <w:r w:rsidR="005B4BAA" w:rsidRPr="003761A4">
        <w:rPr>
          <w:rFonts w:ascii="Times New Roman" w:eastAsia="Times New Roman" w:hAnsi="Times New Roman" w:cs="Times New Roman"/>
          <w:sz w:val="24"/>
          <w:szCs w:val="24"/>
          <w:lang w:eastAsia="ru-RU"/>
        </w:rPr>
        <w:t>1</w:t>
      </w:r>
      <w:r w:rsidRPr="003761A4">
        <w:rPr>
          <w:rFonts w:ascii="Times New Roman" w:eastAsia="Times New Roman" w:hAnsi="Times New Roman" w:cs="Times New Roman"/>
          <w:sz w:val="24"/>
          <w:szCs w:val="24"/>
          <w:lang w:eastAsia="ru-RU"/>
        </w:rPr>
        <w:t>% на 01.0</w:t>
      </w:r>
      <w:r w:rsidR="005B4BAA" w:rsidRPr="003761A4">
        <w:rPr>
          <w:rFonts w:ascii="Times New Roman" w:eastAsia="Times New Roman" w:hAnsi="Times New Roman" w:cs="Times New Roman"/>
          <w:sz w:val="24"/>
          <w:szCs w:val="24"/>
          <w:lang w:eastAsia="ru-RU"/>
        </w:rPr>
        <w:t>5</w:t>
      </w:r>
      <w:r w:rsidRPr="003761A4">
        <w:rPr>
          <w:rFonts w:ascii="Times New Roman" w:eastAsia="Times New Roman" w:hAnsi="Times New Roman" w:cs="Times New Roman"/>
          <w:sz w:val="24"/>
          <w:szCs w:val="24"/>
          <w:lang w:eastAsia="ru-RU"/>
        </w:rPr>
        <w:t xml:space="preserve">.2023 с 29% в начале 2022 года.  </w:t>
      </w:r>
    </w:p>
    <w:p w14:paraId="0707A149" w14:textId="77777777" w:rsidR="00192800" w:rsidRPr="003761A4" w:rsidRDefault="00192800" w:rsidP="00192800">
      <w:pPr>
        <w:keepNext/>
        <w:spacing w:after="120"/>
        <w:ind w:firstLine="0"/>
        <w:rPr>
          <w:rFonts w:ascii="Times New Roman" w:hAnsi="Times New Roman" w:cs="Times New Roman"/>
          <w:b/>
          <w:sz w:val="24"/>
          <w:szCs w:val="24"/>
        </w:rPr>
      </w:pPr>
      <w:r w:rsidRPr="003761A4">
        <w:rPr>
          <w:rFonts w:ascii="Times New Roman" w:hAnsi="Times New Roman" w:cs="Times New Roman"/>
          <w:b/>
          <w:sz w:val="24"/>
          <w:szCs w:val="24"/>
        </w:rPr>
        <w:t>Банковский сектор в целом вернулся к прибыли</w:t>
      </w:r>
    </w:p>
    <w:p w14:paraId="4AC33454" w14:textId="13D6AB13" w:rsidR="00192800" w:rsidRPr="003761A4" w:rsidRDefault="00192800" w:rsidP="00192800">
      <w:pPr>
        <w:pStyle w:val="a3"/>
        <w:numPr>
          <w:ilvl w:val="0"/>
          <w:numId w:val="32"/>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 xml:space="preserve">По итогам 2022 года сектору удалось показать прибыль в размере 203 млрд руб. (доходность на капитал – 1,8%), компенсировав убыток в 1,5 трлн руб., полученный в первом полугодии. Такому результату в том числе способствовало постепенное восстановление </w:t>
      </w:r>
      <w:r w:rsidR="004366B4" w:rsidRPr="003761A4">
        <w:rPr>
          <w:rFonts w:ascii="Times New Roman" w:eastAsia="Times New Roman" w:hAnsi="Times New Roman" w:cs="Times New Roman"/>
          <w:sz w:val="24"/>
          <w:szCs w:val="24"/>
        </w:rPr>
        <w:t>основных доходов на фоне снижения ставок и роста</w:t>
      </w:r>
      <w:r w:rsidR="004366B4" w:rsidRPr="003761A4">
        <w:rPr>
          <w:rFonts w:ascii="Times New Roman" w:eastAsia="Times New Roman" w:hAnsi="Times New Roman" w:cs="Times New Roman"/>
          <w:sz w:val="28"/>
        </w:rPr>
        <w:t xml:space="preserve"> </w:t>
      </w:r>
      <w:r w:rsidRPr="003761A4">
        <w:rPr>
          <w:rFonts w:ascii="Times New Roman" w:eastAsia="Times New Roman" w:hAnsi="Times New Roman" w:cs="Times New Roman"/>
          <w:sz w:val="24"/>
          <w:szCs w:val="24"/>
          <w:lang w:eastAsia="ru-RU"/>
        </w:rPr>
        <w:t xml:space="preserve">бизнеса во втором полугодии. </w:t>
      </w:r>
    </w:p>
    <w:p w14:paraId="1A9412DE" w14:textId="220A51B7" w:rsidR="005B4BAA" w:rsidRPr="003761A4" w:rsidRDefault="002912A8" w:rsidP="004366B4">
      <w:pPr>
        <w:pStyle w:val="a3"/>
        <w:numPr>
          <w:ilvl w:val="0"/>
          <w:numId w:val="32"/>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А с</w:t>
      </w:r>
      <w:r w:rsidR="005B4BAA" w:rsidRPr="003761A4">
        <w:rPr>
          <w:rFonts w:ascii="Times New Roman" w:eastAsia="Times New Roman" w:hAnsi="Times New Roman" w:cs="Times New Roman"/>
          <w:sz w:val="24"/>
          <w:szCs w:val="24"/>
          <w:lang w:eastAsia="ru-RU"/>
        </w:rPr>
        <w:t xml:space="preserve">удя по итогам </w:t>
      </w:r>
      <w:r w:rsidR="004366B4" w:rsidRPr="003761A4">
        <w:rPr>
          <w:rFonts w:ascii="Times New Roman" w:eastAsia="Times New Roman" w:hAnsi="Times New Roman" w:cs="Times New Roman"/>
          <w:sz w:val="24"/>
          <w:szCs w:val="24"/>
          <w:lang w:eastAsia="ru-RU"/>
        </w:rPr>
        <w:t>4 месяцев 2023 года</w:t>
      </w:r>
      <w:r w:rsidR="005B4BAA" w:rsidRPr="003761A4">
        <w:rPr>
          <w:rFonts w:ascii="Times New Roman" w:eastAsia="Times New Roman" w:hAnsi="Times New Roman" w:cs="Times New Roman"/>
          <w:sz w:val="24"/>
          <w:szCs w:val="24"/>
          <w:lang w:eastAsia="ru-RU"/>
        </w:rPr>
        <w:t xml:space="preserve"> (прибыль 1,1 трлн руб.), чистая прибыль банковского сектора в 2023 году может быть около 2 трлн руб. в отсутствие новых шоков. </w:t>
      </w:r>
      <w:r w:rsidR="004366B4" w:rsidRPr="003761A4">
        <w:rPr>
          <w:rFonts w:ascii="Times New Roman" w:eastAsia="Times New Roman" w:hAnsi="Times New Roman" w:cs="Times New Roman"/>
          <w:sz w:val="24"/>
          <w:szCs w:val="24"/>
          <w:lang w:eastAsia="ru-RU"/>
        </w:rPr>
        <w:t>Это будет поддерживать рост кредитования и способствовать дальнейшему восстановлению капитала отдельных банков, которые понесли убытки в 2022 году.</w:t>
      </w:r>
    </w:p>
    <w:p w14:paraId="06CFE2C3" w14:textId="77777777" w:rsidR="00136C0B" w:rsidRPr="003761A4" w:rsidRDefault="00136C0B" w:rsidP="00E45C37">
      <w:pPr>
        <w:spacing w:after="120"/>
        <w:rPr>
          <w:rFonts w:ascii="Times New Roman" w:hAnsi="Times New Roman" w:cs="Times New Roman"/>
          <w:b/>
          <w:sz w:val="24"/>
          <w:szCs w:val="24"/>
        </w:rPr>
      </w:pPr>
    </w:p>
    <w:p w14:paraId="107EF6B2" w14:textId="1009E9DA" w:rsidR="00120677" w:rsidRPr="003761A4" w:rsidRDefault="00C83D7E" w:rsidP="00DB2F4B">
      <w:pPr>
        <w:pStyle w:val="3"/>
        <w:rPr>
          <w:rFonts w:ascii="Times New Roman" w:hAnsi="Times New Roman" w:cs="Times New Roman"/>
          <w:b/>
          <w:color w:val="auto"/>
        </w:rPr>
      </w:pPr>
      <w:r w:rsidRPr="003761A4">
        <w:rPr>
          <w:rFonts w:ascii="Times New Roman" w:hAnsi="Times New Roman" w:cs="Times New Roman"/>
          <w:b/>
          <w:color w:val="auto"/>
        </w:rPr>
        <w:t>Республика Таджикистан</w:t>
      </w:r>
    </w:p>
    <w:p w14:paraId="29515266" w14:textId="1159C307" w:rsidR="00192800" w:rsidRPr="003761A4" w:rsidRDefault="00192800" w:rsidP="00192800">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 xml:space="preserve">В Республике Таджикистан по состоянию на 31 декабря 2022 года функционируют 64 кредитных финансовых организации, в том числе 14 традиционных банков, 1 исламский банк, 1 небанковская кредитная организация, 19 микро кредитных депозитных организаций, 3 </w:t>
      </w:r>
      <w:proofErr w:type="spellStart"/>
      <w:r w:rsidRPr="003761A4">
        <w:rPr>
          <w:rFonts w:ascii="Times New Roman" w:eastAsia="Times New Roman" w:hAnsi="Times New Roman" w:cs="Times New Roman"/>
          <w:sz w:val="24"/>
          <w:lang w:eastAsia="ru-RU"/>
        </w:rPr>
        <w:t>микрокредитных</w:t>
      </w:r>
      <w:proofErr w:type="spellEnd"/>
      <w:r w:rsidRPr="003761A4">
        <w:rPr>
          <w:rFonts w:ascii="Times New Roman" w:eastAsia="Times New Roman" w:hAnsi="Times New Roman" w:cs="Times New Roman"/>
          <w:sz w:val="24"/>
          <w:lang w:eastAsia="ru-RU"/>
        </w:rPr>
        <w:t xml:space="preserve"> организации и 26 </w:t>
      </w:r>
      <w:proofErr w:type="spellStart"/>
      <w:r w:rsidRPr="003761A4">
        <w:rPr>
          <w:rFonts w:ascii="Times New Roman" w:eastAsia="Times New Roman" w:hAnsi="Times New Roman" w:cs="Times New Roman"/>
          <w:sz w:val="24"/>
          <w:lang w:eastAsia="ru-RU"/>
        </w:rPr>
        <w:t>микрокредитных</w:t>
      </w:r>
      <w:proofErr w:type="spellEnd"/>
      <w:r w:rsidRPr="003761A4">
        <w:rPr>
          <w:rFonts w:ascii="Times New Roman" w:eastAsia="Times New Roman" w:hAnsi="Times New Roman" w:cs="Times New Roman"/>
          <w:sz w:val="24"/>
          <w:lang w:eastAsia="ru-RU"/>
        </w:rPr>
        <w:t xml:space="preserve"> фондов.</w:t>
      </w:r>
    </w:p>
    <w:p w14:paraId="2FD2DA76" w14:textId="77777777" w:rsidR="00192800" w:rsidRPr="003761A4" w:rsidRDefault="00192800" w:rsidP="00192800">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 xml:space="preserve">За период с 31 декабря 2021 года по 31 декабря 2022 года были выданы лицензии 1 небанковской кредитной организации, 2 </w:t>
      </w:r>
      <w:proofErr w:type="spellStart"/>
      <w:r w:rsidRPr="003761A4">
        <w:rPr>
          <w:rFonts w:ascii="Times New Roman" w:eastAsia="Times New Roman" w:hAnsi="Times New Roman" w:cs="Times New Roman"/>
          <w:sz w:val="24"/>
          <w:lang w:eastAsia="ru-RU"/>
        </w:rPr>
        <w:t>микрокредитным</w:t>
      </w:r>
      <w:proofErr w:type="spellEnd"/>
      <w:r w:rsidRPr="003761A4">
        <w:rPr>
          <w:rFonts w:ascii="Times New Roman" w:eastAsia="Times New Roman" w:hAnsi="Times New Roman" w:cs="Times New Roman"/>
          <w:sz w:val="24"/>
          <w:lang w:eastAsia="ru-RU"/>
        </w:rPr>
        <w:t xml:space="preserve"> депозитным организациям и была отозвана лицензия у 1 микрофинансовой организации.</w:t>
      </w:r>
    </w:p>
    <w:p w14:paraId="5B86DC92" w14:textId="6C716407" w:rsidR="00192800" w:rsidRPr="003761A4" w:rsidRDefault="00192800" w:rsidP="00192800">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Следует отметить, что в банковской системе страны функционирует</w:t>
      </w:r>
      <w:r w:rsidR="003E3BE4" w:rsidRPr="003761A4">
        <w:rPr>
          <w:rFonts w:ascii="Times New Roman" w:eastAsia="Times New Roman" w:hAnsi="Times New Roman" w:cs="Times New Roman"/>
          <w:sz w:val="24"/>
          <w:lang w:eastAsia="ru-RU"/>
        </w:rPr>
        <w:t xml:space="preserve"> </w:t>
      </w:r>
      <w:r w:rsidRPr="003761A4">
        <w:rPr>
          <w:rFonts w:ascii="Times New Roman" w:eastAsia="Times New Roman" w:hAnsi="Times New Roman" w:cs="Times New Roman"/>
          <w:sz w:val="24"/>
          <w:lang w:eastAsia="ru-RU"/>
        </w:rPr>
        <w:t>представительство 1 иностранного банка (AKOO “Сельскохозяйственный банк Китая”). На ряду с этим, за пределами территории Республики Таджикистан в Объединенных Арабских Эмиратах (г. Дубай), Соединённом Королевстве Великобритании и Северной Ирландии (г. Лондон), Турецкой Республике (г. Стамбул), Республике Корея (г. Сеул), Республике Узбекистан (г. Ташкент), Китайской Народной Республике (г. Пекин) функционируют представительства OAO “</w:t>
      </w:r>
      <w:proofErr w:type="spellStart"/>
      <w:r w:rsidRPr="003761A4">
        <w:rPr>
          <w:rFonts w:ascii="Times New Roman" w:eastAsia="Times New Roman" w:hAnsi="Times New Roman" w:cs="Times New Roman"/>
          <w:sz w:val="24"/>
          <w:lang w:eastAsia="ru-RU"/>
        </w:rPr>
        <w:t>Ориёнбанк</w:t>
      </w:r>
      <w:proofErr w:type="spellEnd"/>
      <w:r w:rsidRPr="003761A4">
        <w:rPr>
          <w:rFonts w:ascii="Times New Roman" w:eastAsia="Times New Roman" w:hAnsi="Times New Roman" w:cs="Times New Roman"/>
          <w:sz w:val="24"/>
          <w:lang w:eastAsia="ru-RU"/>
        </w:rPr>
        <w:t>”,   а   также   в Российской   Федерации (г. Москва) осуществляет деятельность представительство ГСБ PT “</w:t>
      </w:r>
      <w:proofErr w:type="spellStart"/>
      <w:r w:rsidRPr="003761A4">
        <w:rPr>
          <w:rFonts w:ascii="Times New Roman" w:eastAsia="Times New Roman" w:hAnsi="Times New Roman" w:cs="Times New Roman"/>
          <w:sz w:val="24"/>
          <w:lang w:eastAsia="ru-RU"/>
        </w:rPr>
        <w:t>Амонатбанк</w:t>
      </w:r>
      <w:proofErr w:type="spellEnd"/>
      <w:r w:rsidRPr="003761A4">
        <w:rPr>
          <w:rFonts w:ascii="Times New Roman" w:eastAsia="Times New Roman" w:hAnsi="Times New Roman" w:cs="Times New Roman"/>
          <w:sz w:val="24"/>
          <w:lang w:eastAsia="ru-RU"/>
        </w:rPr>
        <w:t>”.</w:t>
      </w:r>
    </w:p>
    <w:p w14:paraId="5FC8B231" w14:textId="77777777" w:rsidR="00192800" w:rsidRPr="003761A4" w:rsidRDefault="00192800" w:rsidP="00192800">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На отчетную дату количество структурных подразделений кредитных финансовых организаций по сравнению с аналогичным периодом 2021 года увеличилось на 7 единиц и составило 1 862 единицы.</w:t>
      </w:r>
    </w:p>
    <w:p w14:paraId="022364AD" w14:textId="5E0A38F1" w:rsidR="00192800" w:rsidRPr="003761A4" w:rsidRDefault="00192800" w:rsidP="00192800">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По состоянию на 31 декабря 2022 года общие актив</w:t>
      </w:r>
      <w:r w:rsidR="003E3BE4" w:rsidRPr="003761A4">
        <w:rPr>
          <w:rFonts w:ascii="Times New Roman" w:eastAsia="Times New Roman" w:hAnsi="Times New Roman" w:cs="Times New Roman"/>
          <w:sz w:val="24"/>
          <w:lang w:eastAsia="ru-RU"/>
        </w:rPr>
        <w:t>ы</w:t>
      </w:r>
      <w:r w:rsidRPr="003761A4">
        <w:rPr>
          <w:rFonts w:ascii="Times New Roman" w:eastAsia="Times New Roman" w:hAnsi="Times New Roman" w:cs="Times New Roman"/>
          <w:sz w:val="24"/>
          <w:lang w:eastAsia="ru-RU"/>
        </w:rPr>
        <w:t xml:space="preserve"> кредитных финансовых организаций составили 30 030,7 млн. сомони и увеличились по сравнению с аналогичным периодом 2021 года на 7 616,0 млн. сомони или на 34,0%, в основном за счет средств на счетах к получению из Национального банка Таджикистана, денежных средств и остатка кредитного портфеля. </w:t>
      </w:r>
    </w:p>
    <w:p w14:paraId="22D9F35A" w14:textId="77777777" w:rsidR="00192800" w:rsidRPr="003761A4" w:rsidRDefault="00192800" w:rsidP="00192800">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Общая сумма остатка кредитного портфеля кредитных финансовых организаций за ответный период составила 13 577,6 млн. сомони и по сравнению с аналогичным периодом 2021 года увеличилась на 1 607,2 млн. сомони или на 13,4%, в основном за счет кредитов, выданных сектору малого и среднего предпринимательства.</w:t>
      </w:r>
    </w:p>
    <w:p w14:paraId="1E598783" w14:textId="77777777" w:rsidR="00192800" w:rsidRPr="003761A4" w:rsidRDefault="00192800" w:rsidP="00192800">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Доля кредитов в иностранной валюте за ответный период составила 28,4%, что по сравнению с аналогичным периодом 2021 года меньше на 4,7 процентных пункта.</w:t>
      </w:r>
    </w:p>
    <w:p w14:paraId="6BB05F77" w14:textId="6646E0FD" w:rsidR="00192800" w:rsidRPr="003761A4" w:rsidRDefault="00192800" w:rsidP="00192800">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Кредитный риск, являясь одним из главных рисков банковской</w:t>
      </w:r>
      <w:r w:rsidR="003E3BE4" w:rsidRPr="003761A4">
        <w:rPr>
          <w:rFonts w:ascii="Times New Roman" w:eastAsia="Times New Roman" w:hAnsi="Times New Roman" w:cs="Times New Roman"/>
          <w:sz w:val="24"/>
          <w:lang w:eastAsia="ru-RU"/>
        </w:rPr>
        <w:t xml:space="preserve"> системы, имел тенденцию к умень</w:t>
      </w:r>
      <w:r w:rsidRPr="003761A4">
        <w:rPr>
          <w:rFonts w:ascii="Times New Roman" w:eastAsia="Times New Roman" w:hAnsi="Times New Roman" w:cs="Times New Roman"/>
          <w:sz w:val="24"/>
          <w:lang w:eastAsia="ru-RU"/>
        </w:rPr>
        <w:t xml:space="preserve">шению. Так, в декабре 2022 года доля необслуживаемых кредитов (просроченных более 30 дней) в кредитном портфеле банковской системы составила 12,0% и уменьшилась по сравнению с этим периодом 2021 года на 1,4 </w:t>
      </w:r>
      <w:proofErr w:type="spellStart"/>
      <w:r w:rsidRPr="003761A4">
        <w:rPr>
          <w:rFonts w:ascii="Times New Roman" w:eastAsia="Times New Roman" w:hAnsi="Times New Roman" w:cs="Times New Roman"/>
          <w:sz w:val="24"/>
          <w:lang w:eastAsia="ru-RU"/>
        </w:rPr>
        <w:t>п.п</w:t>
      </w:r>
      <w:proofErr w:type="spellEnd"/>
      <w:r w:rsidRPr="003761A4">
        <w:rPr>
          <w:rFonts w:ascii="Times New Roman" w:eastAsia="Times New Roman" w:hAnsi="Times New Roman" w:cs="Times New Roman"/>
          <w:sz w:val="24"/>
          <w:lang w:eastAsia="ru-RU"/>
        </w:rPr>
        <w:t>. Таким образом, объем необслуживаемых кредитов (просроченные более 30 дней) за этот период составил 1 630,9 млн. с</w:t>
      </w:r>
      <w:r w:rsidR="003E3BE4" w:rsidRPr="003761A4">
        <w:rPr>
          <w:rFonts w:ascii="Times New Roman" w:eastAsia="Times New Roman" w:hAnsi="Times New Roman" w:cs="Times New Roman"/>
          <w:sz w:val="24"/>
          <w:lang w:eastAsia="ru-RU"/>
        </w:rPr>
        <w:t>омони</w:t>
      </w:r>
      <w:r w:rsidRPr="003761A4">
        <w:rPr>
          <w:rFonts w:ascii="Times New Roman" w:eastAsia="Times New Roman" w:hAnsi="Times New Roman" w:cs="Times New Roman"/>
          <w:sz w:val="24"/>
          <w:lang w:eastAsia="ru-RU"/>
        </w:rPr>
        <w:t>.</w:t>
      </w:r>
    </w:p>
    <w:p w14:paraId="684B3EE1" w14:textId="77777777" w:rsidR="00192800" w:rsidRPr="003761A4" w:rsidRDefault="00192800" w:rsidP="00192800">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По состоянию на 31 декабря 2022 года по необслуживаемым кредитам был сформирован фонд покрытия возможных потерь на сумму 1 704,2 млн. сомони или 104,5% от суммы необслуживаемых кредитов, что по сравнению с аналогичным периодом 2021 года больше на 12,0 процентных пункта.</w:t>
      </w:r>
    </w:p>
    <w:p w14:paraId="29B8383F" w14:textId="42534625" w:rsidR="00192800" w:rsidRPr="003761A4" w:rsidRDefault="00192800" w:rsidP="00192800">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Общие обязательства кредитных финансовых организаций за указанный период составили 23 731,7 млн. сомони и по сравнению с аналогичным периодом 2021 года увеличились на 6 392,6 млн. сомони или на 36,9%, в ос</w:t>
      </w:r>
      <w:r w:rsidR="003E3BE4" w:rsidRPr="003761A4">
        <w:rPr>
          <w:rFonts w:ascii="Times New Roman" w:eastAsia="Times New Roman" w:hAnsi="Times New Roman" w:cs="Times New Roman"/>
          <w:sz w:val="24"/>
          <w:lang w:eastAsia="ru-RU"/>
        </w:rPr>
        <w:t>новном, за счет увеличения депозит</w:t>
      </w:r>
      <w:r w:rsidRPr="003761A4">
        <w:rPr>
          <w:rFonts w:ascii="Times New Roman" w:eastAsia="Times New Roman" w:hAnsi="Times New Roman" w:cs="Times New Roman"/>
          <w:sz w:val="24"/>
          <w:lang w:eastAsia="ru-RU"/>
        </w:rPr>
        <w:t>ов.</w:t>
      </w:r>
    </w:p>
    <w:p w14:paraId="1B52A20E" w14:textId="77777777" w:rsidR="00192800" w:rsidRPr="003761A4" w:rsidRDefault="00192800" w:rsidP="00192800">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Общие депозиты кредитных финансовых организаций за этот период составили 15 507,8 млн. сомони и по сравнению с аналогичным периодом 2021 года увеличились на 5 348,5 млн. сомони или на 52,6%. Доля депозитов в иностранной валюте за ответный период составила 44,3%, что по сравнению с аналогичным периодом 2021 года меньше на 0,2 процентных пункта.</w:t>
      </w:r>
    </w:p>
    <w:p w14:paraId="4C1FAC68" w14:textId="77777777" w:rsidR="00192800" w:rsidRPr="003761A4" w:rsidRDefault="00192800" w:rsidP="00192800">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Общий балансовый капитал кредитных финансовых организаций на</w:t>
      </w:r>
    </w:p>
    <w:p w14:paraId="7625E9E5" w14:textId="77777777" w:rsidR="00192800" w:rsidRPr="003761A4" w:rsidRDefault="00192800" w:rsidP="00192800">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31 декабря 2022 года составил 6 299,0 млн. сомони и по сравнению с аналогичным периодом 2021 года увеличился на 1 223,3 млн. сомони или на 24,1%.</w:t>
      </w:r>
    </w:p>
    <w:p w14:paraId="278AE769" w14:textId="77777777" w:rsidR="00192800" w:rsidRPr="003761A4" w:rsidRDefault="00192800" w:rsidP="00192800">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Результатом финансовой деятельности кредитных финансовых организаций на конец 2022 года стала прибыль в размере 1 179,5 млн. Прибыль за 2021 год составляла 108,4 млн. сомони.</w:t>
      </w:r>
    </w:p>
    <w:p w14:paraId="16DC6C4E" w14:textId="77777777" w:rsidR="00192800" w:rsidRPr="003761A4" w:rsidRDefault="00192800" w:rsidP="00192800">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Коэффициент достаточности капитала кредитных финансовых организаций на 31 декабря 2022 года составляет 25,27%, что по сравнению с установленным требованием (12%) больше на 13,27 процентных пункта.</w:t>
      </w:r>
    </w:p>
    <w:p w14:paraId="71CAB778" w14:textId="32A6CC0A" w:rsidR="00C83D7E" w:rsidRPr="003761A4" w:rsidRDefault="00192800" w:rsidP="00192800">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Показатели доходности активов (ROA) и доходности капитала (ROE) кредитных финансовых организаций на 31 декабря 2022 года увеличились относительно указанного периода 2021 года с 0,5% до 3,9% и с 2,1% до 18,7% соответственно.</w:t>
      </w:r>
    </w:p>
    <w:p w14:paraId="43EE62AA" w14:textId="77777777" w:rsidR="00C83D7E" w:rsidRPr="003761A4" w:rsidRDefault="00C83D7E">
      <w:pPr>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br w:type="page"/>
      </w:r>
    </w:p>
    <w:p w14:paraId="31FEA14E" w14:textId="77777777" w:rsidR="00120677" w:rsidRPr="003761A4" w:rsidRDefault="00120677" w:rsidP="00DB2F4B">
      <w:pPr>
        <w:pStyle w:val="2"/>
        <w:rPr>
          <w:b/>
          <w:sz w:val="24"/>
          <w:szCs w:val="24"/>
          <w:u w:val="single"/>
        </w:rPr>
      </w:pPr>
      <w:r w:rsidRPr="003761A4">
        <w:rPr>
          <w:b/>
          <w:sz w:val="24"/>
          <w:szCs w:val="24"/>
          <w:u w:val="single"/>
        </w:rPr>
        <w:t>2. Институциональные преобразования и совершенствование инфраструктуры банковского сектора</w:t>
      </w:r>
    </w:p>
    <w:p w14:paraId="132CCFAF" w14:textId="2E8AD44B" w:rsidR="00B92B7E" w:rsidRPr="003761A4" w:rsidRDefault="00B92B7E" w:rsidP="00DB2F4B">
      <w:pPr>
        <w:pStyle w:val="3"/>
        <w:rPr>
          <w:rFonts w:ascii="Times New Roman" w:hAnsi="Times New Roman" w:cs="Times New Roman"/>
          <w:b/>
          <w:color w:val="auto"/>
          <w:lang w:val="ky-KG"/>
        </w:rPr>
      </w:pPr>
      <w:r w:rsidRPr="003761A4">
        <w:rPr>
          <w:rFonts w:ascii="Times New Roman" w:hAnsi="Times New Roman" w:cs="Times New Roman"/>
          <w:b/>
          <w:color w:val="auto"/>
          <w:lang w:val="ky-KG"/>
        </w:rPr>
        <w:t>Республика Армения</w:t>
      </w:r>
      <w:r w:rsidR="00F4452D" w:rsidRPr="003761A4">
        <w:rPr>
          <w:rFonts w:ascii="Times New Roman" w:hAnsi="Times New Roman" w:cs="Times New Roman"/>
          <w:b/>
          <w:color w:val="auto"/>
          <w:lang w:val="ky-KG"/>
        </w:rPr>
        <w:tab/>
      </w:r>
    </w:p>
    <w:p w14:paraId="4F40FDDD" w14:textId="7A2BB8AE" w:rsidR="00FC75D8" w:rsidRPr="003761A4" w:rsidRDefault="00920CA3" w:rsidP="00FC75D8">
      <w:pPr>
        <w:spacing w:after="120"/>
        <w:rPr>
          <w:rFonts w:ascii="Times New Roman" w:hAnsi="Times New Roman" w:cs="Times New Roman"/>
          <w:sz w:val="24"/>
          <w:szCs w:val="24"/>
          <w:lang w:val="ky-KG"/>
        </w:rPr>
      </w:pPr>
      <w:r w:rsidRPr="003761A4">
        <w:rPr>
          <w:rFonts w:ascii="Times New Roman" w:hAnsi="Times New Roman" w:cs="Times New Roman"/>
          <w:sz w:val="24"/>
          <w:szCs w:val="24"/>
          <w:lang w:val="ky-KG"/>
        </w:rPr>
        <w:t>Ведутся активные работы п</w:t>
      </w:r>
      <w:r w:rsidR="00FC75D8" w:rsidRPr="003761A4">
        <w:rPr>
          <w:rFonts w:ascii="Times New Roman" w:hAnsi="Times New Roman" w:cs="Times New Roman"/>
          <w:sz w:val="24"/>
          <w:szCs w:val="24"/>
          <w:lang w:val="ky-KG"/>
        </w:rPr>
        <w:t>о модернизации инфраструктуры обслуживания безналичных платежей. В частности, в разы увеличено количество POS-терминалов в торговых точках и в пунктах обслуживания клиентов, в связи с вступлением в силу (01.07.2022) закона РА «О безналичных операциях», а также совмещённых кассовых аппаратов (аппараты с активированным приложением для безналичного обслуживания). Банки внедрили бесконтактные платежные карты с технологией EMV, а также модернизировали банкоматы и предоставляют мерчантам POS-терминалы с возможностью обслуживания EMV-карт.</w:t>
      </w:r>
    </w:p>
    <w:p w14:paraId="0B57DE48" w14:textId="77777777" w:rsidR="00FC75D8" w:rsidRPr="003761A4" w:rsidRDefault="00FC75D8" w:rsidP="00FC75D8">
      <w:pPr>
        <w:spacing w:after="120"/>
        <w:rPr>
          <w:rFonts w:ascii="Times New Roman" w:hAnsi="Times New Roman" w:cs="Times New Roman"/>
          <w:sz w:val="24"/>
          <w:szCs w:val="24"/>
          <w:lang w:val="ky-KG"/>
        </w:rPr>
      </w:pPr>
      <w:r w:rsidRPr="003761A4">
        <w:rPr>
          <w:rFonts w:ascii="Times New Roman" w:hAnsi="Times New Roman" w:cs="Times New Roman"/>
          <w:sz w:val="24"/>
          <w:szCs w:val="24"/>
          <w:lang w:val="ky-KG"/>
        </w:rPr>
        <w:t>Запускается национальная система быстрых платежей, которая предоставит банкам возможность совершать платежные операции в течение нескольких секунд, что позволит значительно улучшить качество обслуживания как физических, так и юридических лиц.</w:t>
      </w:r>
    </w:p>
    <w:p w14:paraId="44F71F36" w14:textId="77777777" w:rsidR="00FC75D8" w:rsidRPr="003761A4" w:rsidRDefault="00FC75D8" w:rsidP="00FC75D8">
      <w:pPr>
        <w:spacing w:after="120"/>
        <w:rPr>
          <w:rFonts w:ascii="Times New Roman" w:hAnsi="Times New Roman" w:cs="Times New Roman"/>
          <w:sz w:val="24"/>
          <w:szCs w:val="24"/>
          <w:lang w:val="ky-KG"/>
        </w:rPr>
      </w:pPr>
      <w:r w:rsidRPr="003761A4">
        <w:rPr>
          <w:rFonts w:ascii="Times New Roman" w:hAnsi="Times New Roman" w:cs="Times New Roman"/>
          <w:sz w:val="24"/>
          <w:szCs w:val="24"/>
          <w:lang w:val="ky-KG"/>
        </w:rPr>
        <w:t xml:space="preserve">Параллельно банки работают над модернизацией своего основного программного обеспечения (core banking software), проводятся работы по расширению поддержки открытых API для обеспечения взаимодействия банков с национальными информационными системами. </w:t>
      </w:r>
    </w:p>
    <w:p w14:paraId="54457A2D" w14:textId="57753727" w:rsidR="00B92B7E" w:rsidRPr="003761A4" w:rsidRDefault="00FC75D8" w:rsidP="00FC75D8">
      <w:pPr>
        <w:spacing w:after="120"/>
        <w:rPr>
          <w:rFonts w:ascii="Times New Roman" w:hAnsi="Times New Roman" w:cs="Times New Roman"/>
          <w:sz w:val="24"/>
          <w:szCs w:val="24"/>
          <w:lang w:val="ky-KG"/>
        </w:rPr>
      </w:pPr>
      <w:r w:rsidRPr="003761A4">
        <w:rPr>
          <w:rFonts w:ascii="Times New Roman" w:hAnsi="Times New Roman" w:cs="Times New Roman"/>
          <w:sz w:val="24"/>
          <w:szCs w:val="24"/>
          <w:lang w:val="ky-KG"/>
        </w:rPr>
        <w:t>Банки работают над созданием единого стандарта QR-кодов для своих платежных систем. Создана межбанковская рабочая группа по стандартизации QR-кодов с привлечением специалистов ЦБ, которая занимается разработкой единого стандарта QR-кодов как для существующих систем, так и для разрабатываемых с целью внедрения в ближайшем будущем.</w:t>
      </w:r>
    </w:p>
    <w:p w14:paraId="35F1F969" w14:textId="6C2BE3D9" w:rsidR="00BE3E27" w:rsidRPr="003761A4" w:rsidRDefault="0095131E" w:rsidP="00DB2F4B">
      <w:pPr>
        <w:pStyle w:val="3"/>
        <w:rPr>
          <w:rFonts w:ascii="Times New Roman" w:hAnsi="Times New Roman" w:cs="Times New Roman"/>
          <w:b/>
          <w:color w:val="auto"/>
          <w:lang w:val="ky-KG"/>
        </w:rPr>
      </w:pPr>
      <w:r w:rsidRPr="003761A4">
        <w:rPr>
          <w:rFonts w:ascii="Times New Roman" w:hAnsi="Times New Roman" w:cs="Times New Roman"/>
          <w:b/>
          <w:color w:val="auto"/>
          <w:lang w:val="ky-KG"/>
        </w:rPr>
        <w:t>Республика Беларусь.</w:t>
      </w:r>
    </w:p>
    <w:p w14:paraId="7B9FEF33" w14:textId="77777777" w:rsidR="004665A1" w:rsidRPr="003761A4" w:rsidRDefault="004665A1" w:rsidP="000C66EE">
      <w:pPr>
        <w:rPr>
          <w:rFonts w:ascii="Times New Roman" w:eastAsia="Calibri" w:hAnsi="Times New Roman" w:cs="Times New Roman"/>
          <w:sz w:val="24"/>
          <w:szCs w:val="24"/>
        </w:rPr>
      </w:pPr>
      <w:r w:rsidRPr="003761A4">
        <w:rPr>
          <w:rFonts w:ascii="Times New Roman" w:eastAsia="Calibri" w:hAnsi="Times New Roman" w:cs="Times New Roman"/>
          <w:sz w:val="24"/>
          <w:szCs w:val="24"/>
        </w:rPr>
        <w:t>В 2022 году произошло незначительное перераспределение удельных весов в совокупном уставном фонде действующих банков между группами банков по форме собственности:</w:t>
      </w:r>
    </w:p>
    <w:p w14:paraId="41A864A0" w14:textId="41A35D79" w:rsidR="004665A1" w:rsidRPr="003761A4" w:rsidRDefault="00E915BF" w:rsidP="000C66EE">
      <w:pPr>
        <w:rPr>
          <w:rFonts w:ascii="Times New Roman" w:eastAsia="Calibri" w:hAnsi="Times New Roman" w:cs="Times New Roman"/>
          <w:sz w:val="24"/>
          <w:szCs w:val="24"/>
        </w:rPr>
      </w:pPr>
      <w:r w:rsidRPr="003761A4">
        <w:rPr>
          <w:rFonts w:ascii="Times New Roman" w:eastAsia="Calibri" w:hAnsi="Times New Roman" w:cs="Times New Roman"/>
          <w:sz w:val="24"/>
          <w:szCs w:val="24"/>
        </w:rPr>
        <w:t>В</w:t>
      </w:r>
      <w:r w:rsidR="004665A1" w:rsidRPr="003761A4">
        <w:rPr>
          <w:rFonts w:ascii="Times New Roman" w:eastAsia="Calibri" w:hAnsi="Times New Roman" w:cs="Times New Roman"/>
          <w:sz w:val="24"/>
          <w:szCs w:val="24"/>
        </w:rPr>
        <w:t>озросла</w:t>
      </w:r>
      <w:r w:rsidRPr="003761A4">
        <w:rPr>
          <w:rFonts w:ascii="Times New Roman" w:eastAsia="Calibri" w:hAnsi="Times New Roman" w:cs="Times New Roman"/>
          <w:sz w:val="24"/>
          <w:szCs w:val="24"/>
        </w:rPr>
        <w:t xml:space="preserve"> доля</w:t>
      </w:r>
      <w:r w:rsidR="004665A1" w:rsidRPr="003761A4">
        <w:rPr>
          <w:rFonts w:ascii="Times New Roman" w:eastAsia="Calibri" w:hAnsi="Times New Roman" w:cs="Times New Roman"/>
          <w:sz w:val="24"/>
          <w:szCs w:val="24"/>
        </w:rPr>
        <w:t xml:space="preserve"> государственных банков</w:t>
      </w:r>
      <w:r w:rsidR="004665A1" w:rsidRPr="003761A4">
        <w:rPr>
          <w:rFonts w:ascii="Times New Roman" w:eastAsia="Calibri" w:hAnsi="Times New Roman" w:cs="Times New Roman"/>
          <w:sz w:val="24"/>
          <w:szCs w:val="24"/>
          <w:vertAlign w:val="superscript"/>
        </w:rPr>
        <w:footnoteReference w:id="11"/>
      </w:r>
      <w:r w:rsidR="004665A1" w:rsidRPr="003761A4">
        <w:rPr>
          <w:rFonts w:ascii="Times New Roman" w:eastAsia="Calibri" w:hAnsi="Times New Roman" w:cs="Times New Roman"/>
          <w:sz w:val="24"/>
          <w:szCs w:val="24"/>
        </w:rPr>
        <w:t>, с 80,4 до 86,4 процента (при этом произошло небольшое снижение их доли в активах действующих банков – с 66,5 до 66,1 процента, и увеличение доли в нормативном капитале действующих банков с 60,6 до 63,9 процента);</w:t>
      </w:r>
    </w:p>
    <w:p w14:paraId="74291395" w14:textId="77777777" w:rsidR="004665A1" w:rsidRPr="003761A4" w:rsidRDefault="004665A1" w:rsidP="000C66EE">
      <w:pPr>
        <w:rPr>
          <w:rFonts w:ascii="Times New Roman" w:eastAsia="Calibri" w:hAnsi="Times New Roman" w:cs="Times New Roman"/>
          <w:sz w:val="24"/>
          <w:szCs w:val="24"/>
        </w:rPr>
      </w:pPr>
      <w:r w:rsidRPr="003761A4">
        <w:rPr>
          <w:rFonts w:ascii="Times New Roman" w:eastAsia="Calibri" w:hAnsi="Times New Roman" w:cs="Times New Roman"/>
          <w:sz w:val="24"/>
          <w:szCs w:val="24"/>
        </w:rPr>
        <w:t>доля иностранных банков снизилась с 17,6 до 12,8 процента. Удельный вес таких банков в совокупном нормативном капитале уменьшился с 36,7 до 34,3 процента, а в активах действующих банков незначительно увеличился с 31,8 до 32,3 процента;</w:t>
      </w:r>
    </w:p>
    <w:p w14:paraId="4B038074" w14:textId="0ADDD1F5" w:rsidR="00C34643" w:rsidRPr="003761A4" w:rsidRDefault="004665A1" w:rsidP="000C66EE">
      <w:pPr>
        <w:rPr>
          <w:rFonts w:ascii="Times New Roman" w:hAnsi="Times New Roman" w:cs="Times New Roman"/>
          <w:b/>
          <w:sz w:val="24"/>
          <w:szCs w:val="24"/>
        </w:rPr>
      </w:pPr>
      <w:r w:rsidRPr="003761A4">
        <w:rPr>
          <w:rFonts w:ascii="Times New Roman" w:eastAsia="Calibri" w:hAnsi="Times New Roman" w:cs="Times New Roman"/>
          <w:sz w:val="24"/>
          <w:szCs w:val="24"/>
        </w:rPr>
        <w:t>доля частных банков в совокупном уставном фонде действующих банков снизилась с 2,0 до 0,8 процента. Удельный вес таких банков в совокупном нормативном капитале снизился с 2,6 до 1,8 процента. Доля в совокупных активах действующих банков снизилась с 1,7 до 1,5 процента</w:t>
      </w:r>
    </w:p>
    <w:p w14:paraId="7ACC4AF7" w14:textId="77777777" w:rsidR="004665A1" w:rsidRPr="003761A4" w:rsidRDefault="004665A1" w:rsidP="00BE3E27">
      <w:pPr>
        <w:spacing w:after="120"/>
        <w:rPr>
          <w:rFonts w:ascii="Times New Roman" w:hAnsi="Times New Roman" w:cs="Times New Roman"/>
          <w:b/>
          <w:sz w:val="24"/>
          <w:szCs w:val="24"/>
        </w:rPr>
      </w:pPr>
    </w:p>
    <w:p w14:paraId="59EBBD2C" w14:textId="2AE87196" w:rsidR="005C44CB" w:rsidRPr="003761A4" w:rsidRDefault="00C83D7E" w:rsidP="00DB2F4B">
      <w:pPr>
        <w:pStyle w:val="3"/>
        <w:rPr>
          <w:rFonts w:ascii="Times New Roman" w:hAnsi="Times New Roman" w:cs="Times New Roman"/>
          <w:b/>
          <w:color w:val="auto"/>
        </w:rPr>
      </w:pPr>
      <w:r w:rsidRPr="003761A4">
        <w:rPr>
          <w:rFonts w:ascii="Times New Roman" w:hAnsi="Times New Roman" w:cs="Times New Roman"/>
          <w:b/>
          <w:color w:val="auto"/>
        </w:rPr>
        <w:t>Республика Казахстан</w:t>
      </w:r>
    </w:p>
    <w:p w14:paraId="5A6FD253" w14:textId="1066A242" w:rsidR="00CC4BBE" w:rsidRPr="003761A4" w:rsidRDefault="00CC4BBE" w:rsidP="00CC4BBE">
      <w:pPr>
        <w:rPr>
          <w:rFonts w:ascii="Times New Roman" w:hAnsi="Times New Roman"/>
          <w:sz w:val="24"/>
          <w:szCs w:val="24"/>
          <w:lang w:val="ky-KG"/>
        </w:rPr>
      </w:pPr>
      <w:r w:rsidRPr="003761A4">
        <w:rPr>
          <w:rFonts w:ascii="Times New Roman" w:hAnsi="Times New Roman"/>
          <w:sz w:val="24"/>
          <w:szCs w:val="24"/>
          <w:lang w:val="ky-KG"/>
        </w:rPr>
        <w:t>По состоянию на 1 января 2023 года банковский сектор Республики Казахстан представлен 21 банком второго уровня, из которых 12 банков с иностранным участием, в том числе 8 дочерних банков.</w:t>
      </w:r>
    </w:p>
    <w:p w14:paraId="547B12EB" w14:textId="130DADBA" w:rsidR="00CC4BBE" w:rsidRPr="003761A4" w:rsidRDefault="00CC4BBE" w:rsidP="00CC4BBE">
      <w:pPr>
        <w:rPr>
          <w:rFonts w:ascii="Times New Roman" w:hAnsi="Times New Roman"/>
          <w:sz w:val="24"/>
          <w:szCs w:val="24"/>
          <w:lang w:val="ky-KG"/>
        </w:rPr>
      </w:pPr>
      <w:r w:rsidRPr="003761A4">
        <w:rPr>
          <w:rFonts w:ascii="Times New Roman" w:hAnsi="Times New Roman"/>
          <w:sz w:val="24"/>
          <w:szCs w:val="24"/>
          <w:lang w:val="ky-KG"/>
        </w:rPr>
        <w:t>Совокупные активы банковского сектора за 2022 год увеличил</w:t>
      </w:r>
      <w:r w:rsidR="00E131CD" w:rsidRPr="003761A4">
        <w:rPr>
          <w:rFonts w:ascii="Times New Roman" w:hAnsi="Times New Roman"/>
          <w:sz w:val="24"/>
          <w:szCs w:val="24"/>
          <w:lang w:val="ky-KG"/>
        </w:rPr>
        <w:t xml:space="preserve">ись на 18,4% до 44,6 трлн тенге. </w:t>
      </w:r>
      <w:r w:rsidRPr="003761A4">
        <w:rPr>
          <w:rFonts w:ascii="Times New Roman" w:hAnsi="Times New Roman"/>
          <w:sz w:val="24"/>
          <w:szCs w:val="24"/>
          <w:lang w:val="ky-KG"/>
        </w:rPr>
        <w:t>По итогам 2022 года высоколиквидные активы банков второго уровня составили порядка 13,5 трлн тенге или 30,3% от активов, что позволяет банкам обслуживать свои обязательства в полном объеме.</w:t>
      </w:r>
    </w:p>
    <w:p w14:paraId="3C1362C4" w14:textId="0ECE6CCC" w:rsidR="00CC4BBE" w:rsidRPr="003761A4" w:rsidRDefault="00CC4BBE" w:rsidP="00CC4BBE">
      <w:pPr>
        <w:rPr>
          <w:rFonts w:ascii="Times New Roman" w:hAnsi="Times New Roman"/>
          <w:sz w:val="24"/>
          <w:szCs w:val="24"/>
          <w:lang w:val="ky-KG"/>
        </w:rPr>
      </w:pPr>
      <w:r w:rsidRPr="003761A4">
        <w:rPr>
          <w:rFonts w:ascii="Times New Roman" w:hAnsi="Times New Roman"/>
          <w:sz w:val="24"/>
          <w:szCs w:val="24"/>
          <w:lang w:val="ky-KG"/>
        </w:rPr>
        <w:t>Обязательства банковского сектора увеличились за 2022 год на 18,9% до 39,3 трлн), в основном, за счет роста вкладов населения на 26,0%. В структуре обязательств банковского сектора основную долю – 80,3% или 31,6 трлн тенге занимают вклады клиентов.</w:t>
      </w:r>
    </w:p>
    <w:p w14:paraId="58B944B6" w14:textId="264ACA06" w:rsidR="00CC4BBE" w:rsidRPr="003761A4" w:rsidRDefault="00CC4BBE" w:rsidP="00CC4BBE">
      <w:pPr>
        <w:rPr>
          <w:rFonts w:ascii="Times New Roman" w:hAnsi="Times New Roman"/>
          <w:sz w:val="24"/>
          <w:szCs w:val="24"/>
          <w:lang w:val="ky-KG"/>
        </w:rPr>
      </w:pPr>
      <w:r w:rsidRPr="003761A4">
        <w:rPr>
          <w:rFonts w:ascii="Times New Roman" w:hAnsi="Times New Roman"/>
          <w:sz w:val="24"/>
          <w:szCs w:val="24"/>
          <w:lang w:val="ky-KG"/>
        </w:rPr>
        <w:t>Кредиты экономике увеличились за 2022 год на 23,3% до 22,8 трлн тенге</w:t>
      </w:r>
      <w:r w:rsidR="00E131CD" w:rsidRPr="003761A4">
        <w:rPr>
          <w:rFonts w:ascii="Times New Roman" w:hAnsi="Times New Roman"/>
          <w:sz w:val="24"/>
          <w:szCs w:val="24"/>
          <w:lang w:val="ky-KG"/>
        </w:rPr>
        <w:t xml:space="preserve">. </w:t>
      </w:r>
      <w:r w:rsidRPr="003761A4">
        <w:rPr>
          <w:rFonts w:ascii="Times New Roman" w:hAnsi="Times New Roman"/>
          <w:sz w:val="24"/>
          <w:szCs w:val="24"/>
          <w:lang w:val="ky-KG"/>
        </w:rPr>
        <w:t xml:space="preserve">Кредиты физическим лицам увеличились за 2022 </w:t>
      </w:r>
      <w:r w:rsidR="00E131CD" w:rsidRPr="003761A4">
        <w:rPr>
          <w:rFonts w:ascii="Times New Roman" w:hAnsi="Times New Roman"/>
          <w:sz w:val="24"/>
          <w:szCs w:val="24"/>
          <w:lang w:val="ky-KG"/>
        </w:rPr>
        <w:t>год на 31,8% до 14,2 трлн тенге.</w:t>
      </w:r>
    </w:p>
    <w:p w14:paraId="1C1A17E2" w14:textId="1CB1BA2E" w:rsidR="00CC4BBE" w:rsidRPr="003761A4" w:rsidRDefault="00CC4BBE" w:rsidP="00CC4BBE">
      <w:pPr>
        <w:rPr>
          <w:rFonts w:ascii="Times New Roman" w:hAnsi="Times New Roman"/>
          <w:sz w:val="24"/>
          <w:szCs w:val="24"/>
          <w:lang w:val="ky-KG"/>
        </w:rPr>
      </w:pPr>
      <w:r w:rsidRPr="003761A4">
        <w:rPr>
          <w:rFonts w:ascii="Times New Roman" w:hAnsi="Times New Roman"/>
          <w:sz w:val="24"/>
          <w:szCs w:val="24"/>
          <w:lang w:val="ky-KG"/>
        </w:rPr>
        <w:t>В результате продолжения льготных государственных жилищных программ и использования пенсионных накоплений на улучшение жилищных условий ипотечное кредитование в 2022 году увеличилось на 42,5% до 4,7 трлн тенге (за декабрь 2022 года рост на 3,9%), превысив показатель 2021 года, равный 39,3%.</w:t>
      </w:r>
    </w:p>
    <w:p w14:paraId="3012F51F" w14:textId="7624F9F8" w:rsidR="00CC4BBE" w:rsidRPr="003761A4" w:rsidRDefault="00CC4BBE" w:rsidP="00CC4BBE">
      <w:pPr>
        <w:rPr>
          <w:rFonts w:ascii="Times New Roman" w:hAnsi="Times New Roman"/>
          <w:sz w:val="24"/>
          <w:szCs w:val="24"/>
          <w:lang w:val="ky-KG"/>
        </w:rPr>
      </w:pPr>
      <w:r w:rsidRPr="003761A4">
        <w:rPr>
          <w:rFonts w:ascii="Times New Roman" w:hAnsi="Times New Roman"/>
          <w:sz w:val="24"/>
          <w:szCs w:val="24"/>
          <w:lang w:val="ky-KG"/>
        </w:rPr>
        <w:t>Потребительские кредиты выросли за 2022 год на 25,3% до 7,7 трлн тенге, замедлившись по сравнению с ростом на 39,9% в 2021 году.</w:t>
      </w:r>
    </w:p>
    <w:p w14:paraId="54310AFF" w14:textId="632AF5EA" w:rsidR="00CC4BBE" w:rsidRPr="003761A4" w:rsidRDefault="00CC4BBE" w:rsidP="00CC4BBE">
      <w:pPr>
        <w:rPr>
          <w:rFonts w:ascii="Times New Roman" w:hAnsi="Times New Roman"/>
          <w:sz w:val="24"/>
          <w:szCs w:val="24"/>
          <w:lang w:val="ky-KG"/>
        </w:rPr>
      </w:pPr>
      <w:r w:rsidRPr="003761A4">
        <w:rPr>
          <w:rFonts w:ascii="Times New Roman" w:hAnsi="Times New Roman"/>
          <w:sz w:val="24"/>
          <w:szCs w:val="24"/>
          <w:lang w:val="ky-KG"/>
        </w:rPr>
        <w:t xml:space="preserve">По итогам 2022 года на депозитном рынке продолжена положительная динамика, несмотря на оттоки, наблюдавшиеся в марте-мае 2022 года (-8,9%). Так, в 2022 году депозиты резидентов в депозитных организациях выросли на 14,1% до 30,9 трлн тенге (за декабрь 2022 года рост на 4,8%) При этом депозиты юридических лиц увеличились на 10,5% до 15,3 трлн тенге (за декабрь 2022 года рост на 2,3%), депозиты физических лиц – на 18,0% до 15,6 трлн тенге (за декабрь 2022 года рост на 7,3%). </w:t>
      </w:r>
    </w:p>
    <w:p w14:paraId="551CED6F" w14:textId="0228F8E3" w:rsidR="00CC4BBE" w:rsidRPr="003761A4" w:rsidRDefault="00CC4BBE" w:rsidP="00CC4BBE">
      <w:pPr>
        <w:rPr>
          <w:rFonts w:ascii="Times New Roman" w:hAnsi="Times New Roman"/>
          <w:sz w:val="24"/>
          <w:szCs w:val="24"/>
          <w:lang w:val="ky-KG"/>
        </w:rPr>
      </w:pPr>
      <w:r w:rsidRPr="003761A4">
        <w:rPr>
          <w:rFonts w:ascii="Times New Roman" w:hAnsi="Times New Roman"/>
          <w:sz w:val="24"/>
          <w:szCs w:val="24"/>
          <w:lang w:val="ky-KG"/>
        </w:rPr>
        <w:t>Депозиты в национальной валюте в 2022 году увеличились на 22,0% до 21,1 трлн тенге (за декабрь 2022 года рост на 8,9%), в иностранной валюте выросли на 0,2% до 9,8 трлн тенге (за декабрь 2022 года снижение на 3,0%). В результате, уровень долларизации на 1 января 2023 года составил 31,6% по сравнению с 36,0% на начало 2022 года.</w:t>
      </w:r>
    </w:p>
    <w:p w14:paraId="78E0DEFF" w14:textId="77777777" w:rsidR="00CC4BBE" w:rsidRPr="003761A4" w:rsidRDefault="00CC4BBE" w:rsidP="00CC4BBE">
      <w:pPr>
        <w:rPr>
          <w:rFonts w:ascii="Times New Roman" w:hAnsi="Times New Roman"/>
          <w:b/>
          <w:sz w:val="24"/>
          <w:szCs w:val="24"/>
          <w:lang w:val="ky-KG"/>
        </w:rPr>
      </w:pPr>
      <w:r w:rsidRPr="003761A4">
        <w:rPr>
          <w:rFonts w:ascii="Times New Roman" w:hAnsi="Times New Roman"/>
          <w:sz w:val="24"/>
          <w:szCs w:val="24"/>
          <w:lang w:val="ky-KG"/>
        </w:rPr>
        <w:t>По итогам 2022 года чистая прибыль банков составила 1,5 трлн тенге, что на 13,7% больше, чем за 2021 год. Рентабельность банковских активов (ROA) на 1 января 2023 года составила 3,7% (на 1 января 2022 года – 3,8%), рентабельность капитала (ROE) – 30,4% (на 1 января 2022 года – 30,6%).</w:t>
      </w:r>
      <w:r w:rsidRPr="003761A4">
        <w:rPr>
          <w:rFonts w:ascii="Times New Roman" w:hAnsi="Times New Roman"/>
          <w:b/>
          <w:sz w:val="24"/>
          <w:szCs w:val="24"/>
          <w:lang w:val="ky-KG"/>
        </w:rPr>
        <w:t xml:space="preserve"> </w:t>
      </w:r>
    </w:p>
    <w:p w14:paraId="325A647B" w14:textId="77777777" w:rsidR="00C83D7E" w:rsidRPr="003761A4" w:rsidRDefault="00C83D7E" w:rsidP="00E915BF">
      <w:pPr>
        <w:rPr>
          <w:rFonts w:ascii="Times New Roman" w:hAnsi="Times New Roman" w:cs="Times New Roman"/>
          <w:b/>
        </w:rPr>
      </w:pPr>
    </w:p>
    <w:p w14:paraId="53A2FD0E" w14:textId="779F1904" w:rsidR="005C44CB" w:rsidRPr="003761A4" w:rsidRDefault="00C83D7E" w:rsidP="00C83D7E">
      <w:pPr>
        <w:pStyle w:val="3"/>
        <w:rPr>
          <w:rFonts w:ascii="Times New Roman" w:hAnsi="Times New Roman" w:cs="Times New Roman"/>
          <w:b/>
          <w:color w:val="auto"/>
        </w:rPr>
      </w:pPr>
      <w:r w:rsidRPr="003761A4">
        <w:rPr>
          <w:rFonts w:ascii="Times New Roman" w:hAnsi="Times New Roman" w:cs="Times New Roman"/>
          <w:b/>
          <w:color w:val="auto"/>
        </w:rPr>
        <w:t>Кыргызская Республика</w:t>
      </w:r>
    </w:p>
    <w:p w14:paraId="26CA19BF" w14:textId="3AC2E80D" w:rsidR="00D130F2" w:rsidRPr="003761A4" w:rsidRDefault="005B6D52" w:rsidP="005B6D52">
      <w:pPr>
        <w:pStyle w:val="ae"/>
        <w:shd w:val="clear" w:color="auto" w:fill="FFFFFF" w:themeFill="background1"/>
        <w:rPr>
          <w:rFonts w:ascii="Times New Roman" w:eastAsia="Times New Roman" w:hAnsi="Times New Roman" w:cs="Times New Roman"/>
          <w:sz w:val="24"/>
          <w:szCs w:val="24"/>
          <w:lang w:val="ky-KG" w:eastAsia="ru-RU"/>
        </w:rPr>
      </w:pPr>
      <w:r w:rsidRPr="003761A4">
        <w:rPr>
          <w:rFonts w:ascii="Times New Roman" w:eastAsia="Times New Roman" w:hAnsi="Times New Roman" w:cs="Times New Roman"/>
          <w:sz w:val="24"/>
          <w:szCs w:val="24"/>
          <w:lang w:val="ky-KG" w:eastAsia="ru-RU"/>
        </w:rPr>
        <w:t>На территории Кыргызской Республики по состоянию на конец 202</w:t>
      </w:r>
      <w:r w:rsidR="003E3BE4" w:rsidRPr="003761A4">
        <w:rPr>
          <w:rFonts w:ascii="Times New Roman" w:eastAsia="Times New Roman" w:hAnsi="Times New Roman" w:cs="Times New Roman"/>
          <w:sz w:val="24"/>
          <w:szCs w:val="24"/>
          <w:lang w:eastAsia="ru-RU"/>
        </w:rPr>
        <w:t>2</w:t>
      </w:r>
      <w:r w:rsidRPr="003761A4">
        <w:rPr>
          <w:rFonts w:ascii="Times New Roman" w:eastAsia="Times New Roman" w:hAnsi="Times New Roman" w:cs="Times New Roman"/>
          <w:sz w:val="24"/>
          <w:szCs w:val="24"/>
          <w:lang w:val="ky-KG" w:eastAsia="ru-RU"/>
        </w:rPr>
        <w:t xml:space="preserve"> года действовало 23 коммерческих банка </w:t>
      </w:r>
      <w:r w:rsidR="00D130F2" w:rsidRPr="003761A4">
        <w:rPr>
          <w:rFonts w:ascii="Times New Roman" w:hAnsi="Times New Roman" w:cs="Times New Roman"/>
          <w:sz w:val="24"/>
          <w:szCs w:val="24"/>
        </w:rPr>
        <w:t>и 31</w:t>
      </w:r>
      <w:r w:rsidR="003E3BE4" w:rsidRPr="003761A4">
        <w:rPr>
          <w:rFonts w:ascii="Times New Roman" w:hAnsi="Times New Roman" w:cs="Times New Roman"/>
          <w:sz w:val="24"/>
          <w:szCs w:val="24"/>
        </w:rPr>
        <w:t>8</w:t>
      </w:r>
      <w:r w:rsidR="00D130F2" w:rsidRPr="003761A4">
        <w:rPr>
          <w:rFonts w:ascii="Times New Roman" w:hAnsi="Times New Roman" w:cs="Times New Roman"/>
          <w:sz w:val="24"/>
          <w:szCs w:val="24"/>
        </w:rPr>
        <w:t xml:space="preserve"> филиалов коммерческих банков</w:t>
      </w:r>
      <w:r w:rsidR="00D130F2" w:rsidRPr="003761A4">
        <w:rPr>
          <w:rFonts w:ascii="Times New Roman" w:eastAsia="Times New Roman" w:hAnsi="Times New Roman" w:cs="Times New Roman"/>
          <w:sz w:val="24"/>
          <w:szCs w:val="24"/>
          <w:lang w:val="ky-KG" w:eastAsia="ru-RU"/>
        </w:rPr>
        <w:t xml:space="preserve">.  </w:t>
      </w:r>
    </w:p>
    <w:p w14:paraId="0A67818C" w14:textId="6E2FA482" w:rsidR="005B6D52" w:rsidRPr="003761A4" w:rsidRDefault="005B6D52" w:rsidP="005B6D52">
      <w:pPr>
        <w:pStyle w:val="ae"/>
        <w:shd w:val="clear" w:color="auto" w:fill="FFFFFF" w:themeFill="background1"/>
        <w:rPr>
          <w:rFonts w:ascii="Times New Roman" w:eastAsia="Times New Roman" w:hAnsi="Times New Roman" w:cs="Times New Roman"/>
          <w:sz w:val="24"/>
          <w:szCs w:val="24"/>
          <w:lang w:val="ky-KG" w:eastAsia="ru-RU"/>
        </w:rPr>
      </w:pPr>
      <w:r w:rsidRPr="003761A4">
        <w:rPr>
          <w:rFonts w:ascii="Times New Roman" w:eastAsia="Times New Roman" w:hAnsi="Times New Roman" w:cs="Times New Roman"/>
          <w:sz w:val="24"/>
          <w:szCs w:val="24"/>
          <w:lang w:val="ky-KG" w:eastAsia="ru-RU"/>
        </w:rPr>
        <w:t xml:space="preserve">Среди действующих коммерческих банков 16 банков имели иностранный капитал. На долю иностранного капитала приходилось </w:t>
      </w:r>
      <w:r w:rsidR="003E3BE4" w:rsidRPr="003761A4">
        <w:rPr>
          <w:rFonts w:ascii="Times New Roman" w:eastAsia="Times New Roman" w:hAnsi="Times New Roman" w:cs="Times New Roman"/>
          <w:sz w:val="24"/>
          <w:szCs w:val="24"/>
          <w:lang w:eastAsia="ru-RU"/>
        </w:rPr>
        <w:t>24</w:t>
      </w:r>
      <w:r w:rsidR="00D130F2" w:rsidRPr="003761A4">
        <w:rPr>
          <w:rFonts w:ascii="Times New Roman" w:eastAsia="Times New Roman" w:hAnsi="Times New Roman" w:cs="Times New Roman"/>
          <w:sz w:val="24"/>
          <w:szCs w:val="24"/>
          <w:lang w:val="ky-KG" w:eastAsia="ru-RU"/>
        </w:rPr>
        <w:t>,</w:t>
      </w:r>
      <w:r w:rsidR="003E3BE4" w:rsidRPr="003761A4">
        <w:rPr>
          <w:rFonts w:ascii="Times New Roman" w:eastAsia="Times New Roman" w:hAnsi="Times New Roman" w:cs="Times New Roman"/>
          <w:sz w:val="24"/>
          <w:szCs w:val="24"/>
          <w:lang w:eastAsia="ru-RU"/>
        </w:rPr>
        <w:t>5</w:t>
      </w:r>
      <w:r w:rsidRPr="003761A4">
        <w:rPr>
          <w:rFonts w:ascii="Times New Roman" w:eastAsia="Times New Roman" w:hAnsi="Times New Roman" w:cs="Times New Roman"/>
          <w:sz w:val="24"/>
          <w:szCs w:val="24"/>
          <w:lang w:val="ky-KG" w:eastAsia="ru-RU"/>
        </w:rPr>
        <w:t xml:space="preserve"> процента от общей суммы уставного капитала банковской системы, что меньше аналогичного показателя за 20</w:t>
      </w:r>
      <w:r w:rsidR="00D130F2" w:rsidRPr="003761A4">
        <w:rPr>
          <w:rFonts w:ascii="Times New Roman" w:eastAsia="Times New Roman" w:hAnsi="Times New Roman" w:cs="Times New Roman"/>
          <w:sz w:val="24"/>
          <w:szCs w:val="24"/>
          <w:lang w:val="ky-KG" w:eastAsia="ru-RU"/>
        </w:rPr>
        <w:t>2</w:t>
      </w:r>
      <w:r w:rsidR="003E3BE4" w:rsidRPr="003761A4">
        <w:rPr>
          <w:rFonts w:ascii="Times New Roman" w:eastAsia="Times New Roman" w:hAnsi="Times New Roman" w:cs="Times New Roman"/>
          <w:sz w:val="24"/>
          <w:szCs w:val="24"/>
          <w:lang w:eastAsia="ru-RU"/>
        </w:rPr>
        <w:t>1</w:t>
      </w:r>
      <w:r w:rsidRPr="003761A4">
        <w:rPr>
          <w:rFonts w:ascii="Times New Roman" w:eastAsia="Times New Roman" w:hAnsi="Times New Roman" w:cs="Times New Roman"/>
          <w:sz w:val="24"/>
          <w:szCs w:val="24"/>
          <w:lang w:val="ky-KG" w:eastAsia="ru-RU"/>
        </w:rPr>
        <w:t xml:space="preserve"> год на </w:t>
      </w:r>
      <w:r w:rsidR="00FC75D8" w:rsidRPr="003761A4">
        <w:rPr>
          <w:rFonts w:ascii="Times New Roman" w:eastAsia="Times New Roman" w:hAnsi="Times New Roman" w:cs="Times New Roman"/>
          <w:sz w:val="24"/>
          <w:szCs w:val="24"/>
          <w:lang w:eastAsia="ru-RU"/>
        </w:rPr>
        <w:t>4</w:t>
      </w:r>
      <w:r w:rsidR="00D130F2" w:rsidRPr="003761A4">
        <w:rPr>
          <w:rFonts w:ascii="Times New Roman" w:eastAsia="Times New Roman" w:hAnsi="Times New Roman" w:cs="Times New Roman"/>
          <w:sz w:val="24"/>
          <w:szCs w:val="24"/>
          <w:lang w:val="ky-KG" w:eastAsia="ru-RU"/>
        </w:rPr>
        <w:t>,</w:t>
      </w:r>
      <w:r w:rsidR="00FC75D8" w:rsidRPr="003761A4">
        <w:rPr>
          <w:rFonts w:ascii="Times New Roman" w:eastAsia="Times New Roman" w:hAnsi="Times New Roman" w:cs="Times New Roman"/>
          <w:sz w:val="24"/>
          <w:szCs w:val="24"/>
          <w:lang w:eastAsia="ru-RU"/>
        </w:rPr>
        <w:t>8</w:t>
      </w:r>
      <w:r w:rsidRPr="003761A4">
        <w:rPr>
          <w:rFonts w:ascii="Times New Roman" w:eastAsia="Times New Roman" w:hAnsi="Times New Roman" w:cs="Times New Roman"/>
          <w:sz w:val="24"/>
          <w:szCs w:val="24"/>
          <w:lang w:val="ky-KG" w:eastAsia="ru-RU"/>
        </w:rPr>
        <w:t xml:space="preserve"> процентных пункта.</w:t>
      </w:r>
    </w:p>
    <w:p w14:paraId="59D52DE8" w14:textId="77777777" w:rsidR="00FC75D8" w:rsidRPr="003761A4" w:rsidRDefault="00FC75D8" w:rsidP="00FC75D8">
      <w:pPr>
        <w:spacing w:after="120"/>
        <w:rPr>
          <w:rFonts w:ascii="Times New Roman" w:hAnsi="Times New Roman" w:cs="Times New Roman"/>
          <w:sz w:val="24"/>
          <w:szCs w:val="24"/>
        </w:rPr>
      </w:pPr>
      <w:r w:rsidRPr="003761A4">
        <w:rPr>
          <w:rFonts w:ascii="Times New Roman" w:hAnsi="Times New Roman" w:cs="Times New Roman"/>
          <w:sz w:val="24"/>
          <w:szCs w:val="24"/>
        </w:rPr>
        <w:t>В 2022 году Национальным банком совместно с банковским и платежным сектором реализован ряд мероприятий в рамках исполнения Национальной программы развития Кыргызской Республики до 2026 года, Концепции развития цифровых платежных технологий в Кыргызской Республике на 2020-2022 годы, Государственной программы по увеличению доли безналичных платежей и расчетов на 2018-2022 годы, а также среднесрочных стратегических документов Национального банка.</w:t>
      </w:r>
    </w:p>
    <w:p w14:paraId="51959DCB" w14:textId="724E44CA" w:rsidR="00FC75D8" w:rsidRPr="003761A4" w:rsidRDefault="00FC75D8" w:rsidP="00FC75D8">
      <w:pPr>
        <w:spacing w:after="120"/>
        <w:rPr>
          <w:rFonts w:ascii="Times New Roman" w:hAnsi="Times New Roman" w:cs="Times New Roman"/>
          <w:sz w:val="24"/>
          <w:szCs w:val="24"/>
        </w:rPr>
      </w:pPr>
      <w:r w:rsidRPr="003761A4">
        <w:rPr>
          <w:rFonts w:ascii="Times New Roman" w:hAnsi="Times New Roman" w:cs="Times New Roman"/>
          <w:sz w:val="24"/>
          <w:szCs w:val="24"/>
        </w:rPr>
        <w:t xml:space="preserve">Расширено предоставление возможности проведения платежей с помощью цифровых платежных технологий, что способствовало увеличению оплаты налогов в безналичной форме, росту количества пользователей банковских платежных карт среди пенсионеров и получателей социальных пособий. Коммерческими банками ввезено в страну 276 банкоматов, 3 420 POS-терминалов и 359 платежных терминалов. При этом на конец 2022 года общее количество банковского оборудования составило 2 041 банкомат, 16 252 POS-терминала и 2 356 платежных терминалов. В отделениях Государственного предприятия «Кыргыз </w:t>
      </w:r>
      <w:proofErr w:type="spellStart"/>
      <w:r w:rsidRPr="003761A4">
        <w:rPr>
          <w:rFonts w:ascii="Times New Roman" w:hAnsi="Times New Roman" w:cs="Times New Roman"/>
          <w:sz w:val="24"/>
          <w:szCs w:val="24"/>
        </w:rPr>
        <w:t>почтасы</w:t>
      </w:r>
      <w:proofErr w:type="spellEnd"/>
      <w:r w:rsidRPr="003761A4">
        <w:rPr>
          <w:rFonts w:ascii="Times New Roman" w:hAnsi="Times New Roman" w:cs="Times New Roman"/>
          <w:sz w:val="24"/>
          <w:szCs w:val="24"/>
        </w:rPr>
        <w:t xml:space="preserve">» (ГП «Кыргыз </w:t>
      </w:r>
      <w:proofErr w:type="spellStart"/>
      <w:r w:rsidRPr="003761A4">
        <w:rPr>
          <w:rFonts w:ascii="Times New Roman" w:hAnsi="Times New Roman" w:cs="Times New Roman"/>
          <w:sz w:val="24"/>
          <w:szCs w:val="24"/>
        </w:rPr>
        <w:t>почтасы</w:t>
      </w:r>
      <w:proofErr w:type="spellEnd"/>
      <w:r w:rsidRPr="003761A4">
        <w:rPr>
          <w:rFonts w:ascii="Times New Roman" w:hAnsi="Times New Roman" w:cs="Times New Roman"/>
          <w:sz w:val="24"/>
          <w:szCs w:val="24"/>
        </w:rPr>
        <w:t>») установлено 387 POS-терминалов для предоставления населению 1 139 сел возможности обналичивания денежных средств с банковской платежной карты и оплаты некоторых услуг.</w:t>
      </w:r>
    </w:p>
    <w:p w14:paraId="0F438218" w14:textId="3BE1645D" w:rsidR="00FC75D8" w:rsidRPr="003761A4" w:rsidRDefault="00FC75D8" w:rsidP="00C83D7E">
      <w:pPr>
        <w:rPr>
          <w:rFonts w:ascii="Times New Roman" w:hAnsi="Times New Roman" w:cs="Times New Roman"/>
          <w:sz w:val="24"/>
          <w:szCs w:val="24"/>
        </w:rPr>
      </w:pPr>
      <w:r w:rsidRPr="003761A4">
        <w:rPr>
          <w:rFonts w:ascii="Times New Roman" w:hAnsi="Times New Roman" w:cs="Times New Roman"/>
          <w:sz w:val="24"/>
          <w:szCs w:val="24"/>
        </w:rPr>
        <w:t>Национальная платежная система «</w:t>
      </w:r>
      <w:proofErr w:type="spellStart"/>
      <w:r w:rsidRPr="003761A4">
        <w:rPr>
          <w:rFonts w:ascii="Times New Roman" w:hAnsi="Times New Roman" w:cs="Times New Roman"/>
          <w:sz w:val="24"/>
          <w:szCs w:val="24"/>
        </w:rPr>
        <w:t>Элкарт</w:t>
      </w:r>
      <w:proofErr w:type="spellEnd"/>
      <w:r w:rsidRPr="003761A4">
        <w:rPr>
          <w:rFonts w:ascii="Times New Roman" w:hAnsi="Times New Roman" w:cs="Times New Roman"/>
          <w:sz w:val="24"/>
          <w:szCs w:val="24"/>
        </w:rPr>
        <w:t>», оператором которой является ЗАО «МПЦ», пополнилась новым сервисом «</w:t>
      </w:r>
      <w:proofErr w:type="spellStart"/>
      <w:r w:rsidRPr="003761A4">
        <w:rPr>
          <w:rFonts w:ascii="Times New Roman" w:hAnsi="Times New Roman" w:cs="Times New Roman"/>
          <w:sz w:val="24"/>
          <w:szCs w:val="24"/>
        </w:rPr>
        <w:t>Элкарт</w:t>
      </w:r>
      <w:proofErr w:type="spellEnd"/>
      <w:r w:rsidRPr="003761A4">
        <w:rPr>
          <w:rFonts w:ascii="Times New Roman" w:hAnsi="Times New Roman" w:cs="Times New Roman"/>
          <w:sz w:val="24"/>
          <w:szCs w:val="24"/>
        </w:rPr>
        <w:t xml:space="preserve"> Пэй» для проведения бесконтактных платежей с использованием смартфонов посредством технологии NFC. Активно реализуется проект по выпуску бесконтактных карт «</w:t>
      </w:r>
      <w:proofErr w:type="spellStart"/>
      <w:r w:rsidRPr="003761A4">
        <w:rPr>
          <w:rFonts w:ascii="Times New Roman" w:hAnsi="Times New Roman" w:cs="Times New Roman"/>
          <w:sz w:val="24"/>
          <w:szCs w:val="24"/>
        </w:rPr>
        <w:t>ЭлкартБесконтакт</w:t>
      </w:r>
      <w:proofErr w:type="spellEnd"/>
      <w:r w:rsidRPr="003761A4">
        <w:rPr>
          <w:rFonts w:ascii="Times New Roman" w:hAnsi="Times New Roman" w:cs="Times New Roman"/>
          <w:sz w:val="24"/>
          <w:szCs w:val="24"/>
        </w:rPr>
        <w:t>», продолжено распространение мобильных приложений «</w:t>
      </w:r>
      <w:proofErr w:type="spellStart"/>
      <w:r w:rsidRPr="003761A4">
        <w:rPr>
          <w:rFonts w:ascii="Times New Roman" w:hAnsi="Times New Roman" w:cs="Times New Roman"/>
          <w:sz w:val="24"/>
          <w:szCs w:val="24"/>
        </w:rPr>
        <w:t>Элкарт</w:t>
      </w:r>
      <w:proofErr w:type="spellEnd"/>
      <w:r w:rsidRPr="003761A4">
        <w:rPr>
          <w:rFonts w:ascii="Times New Roman" w:hAnsi="Times New Roman" w:cs="Times New Roman"/>
          <w:sz w:val="24"/>
          <w:szCs w:val="24"/>
        </w:rPr>
        <w:t>-Мобайл», «</w:t>
      </w:r>
      <w:proofErr w:type="spellStart"/>
      <w:r w:rsidRPr="003761A4">
        <w:rPr>
          <w:rFonts w:ascii="Times New Roman" w:hAnsi="Times New Roman" w:cs="Times New Roman"/>
          <w:sz w:val="24"/>
          <w:szCs w:val="24"/>
        </w:rPr>
        <w:t>Элкарт</w:t>
      </w:r>
      <w:proofErr w:type="spellEnd"/>
      <w:r w:rsidRPr="003761A4">
        <w:rPr>
          <w:rFonts w:ascii="Times New Roman" w:hAnsi="Times New Roman" w:cs="Times New Roman"/>
          <w:sz w:val="24"/>
          <w:szCs w:val="24"/>
        </w:rPr>
        <w:t xml:space="preserve"> Трейд», а также сервиса «</w:t>
      </w:r>
      <w:proofErr w:type="spellStart"/>
      <w:r w:rsidRPr="003761A4">
        <w:rPr>
          <w:rFonts w:ascii="Times New Roman" w:hAnsi="Times New Roman" w:cs="Times New Roman"/>
          <w:sz w:val="24"/>
          <w:szCs w:val="24"/>
        </w:rPr>
        <w:t>Мерчант</w:t>
      </w:r>
      <w:proofErr w:type="spellEnd"/>
      <w:r w:rsidRPr="003761A4">
        <w:rPr>
          <w:rFonts w:ascii="Times New Roman" w:hAnsi="Times New Roman" w:cs="Times New Roman"/>
          <w:sz w:val="24"/>
          <w:szCs w:val="24"/>
        </w:rPr>
        <w:t xml:space="preserve"> платформа» среди населения и бизнеса.</w:t>
      </w:r>
    </w:p>
    <w:p w14:paraId="2E48668F" w14:textId="5DC49967" w:rsidR="00FC75D8" w:rsidRPr="003761A4" w:rsidRDefault="00FC75D8" w:rsidP="00C83D7E">
      <w:pPr>
        <w:rPr>
          <w:rFonts w:ascii="Times New Roman" w:hAnsi="Times New Roman" w:cs="Times New Roman"/>
          <w:sz w:val="24"/>
          <w:szCs w:val="24"/>
        </w:rPr>
      </w:pPr>
      <w:r w:rsidRPr="003761A4">
        <w:rPr>
          <w:rFonts w:ascii="Times New Roman" w:hAnsi="Times New Roman" w:cs="Times New Roman"/>
          <w:sz w:val="24"/>
          <w:szCs w:val="24"/>
        </w:rPr>
        <w:t>В рамках продвижения интеграционных проектов со странами ЕАЭС увеличились объемы денежных переводов по картам национальной системы «</w:t>
      </w:r>
      <w:proofErr w:type="spellStart"/>
      <w:r w:rsidRPr="003761A4">
        <w:rPr>
          <w:rFonts w:ascii="Times New Roman" w:hAnsi="Times New Roman" w:cs="Times New Roman"/>
          <w:sz w:val="24"/>
          <w:szCs w:val="24"/>
        </w:rPr>
        <w:t>Элкарт</w:t>
      </w:r>
      <w:proofErr w:type="spellEnd"/>
      <w:r w:rsidRPr="003761A4">
        <w:rPr>
          <w:rFonts w:ascii="Times New Roman" w:hAnsi="Times New Roman" w:cs="Times New Roman"/>
          <w:sz w:val="24"/>
          <w:szCs w:val="24"/>
        </w:rPr>
        <w:t xml:space="preserve">». По состоянию на 1 марта 2023 года осуществлено порядка 2,3 млн P2P-переводов на общую сумму свыше 18,5 млрд сомов. </w:t>
      </w:r>
    </w:p>
    <w:p w14:paraId="2A934874" w14:textId="77777777" w:rsidR="00FC75D8" w:rsidRPr="003761A4" w:rsidRDefault="00FC75D8" w:rsidP="00C83D7E">
      <w:pPr>
        <w:rPr>
          <w:rFonts w:ascii="Times New Roman" w:hAnsi="Times New Roman" w:cs="Times New Roman"/>
          <w:sz w:val="24"/>
          <w:szCs w:val="24"/>
        </w:rPr>
      </w:pPr>
      <w:r w:rsidRPr="003761A4">
        <w:rPr>
          <w:rFonts w:ascii="Times New Roman" w:hAnsi="Times New Roman" w:cs="Times New Roman"/>
          <w:sz w:val="24"/>
          <w:szCs w:val="24"/>
        </w:rPr>
        <w:t>Проводились мероприятия с банками, направленные на создание инновационных бесконтактных продуктов, доработку интернет-банкинга, мобильных приложений, в том числе по унификации двухмерных символов штрихкода (QR-кода) и повышению уровня безопасности для клиентов при удаленном управлении банковскими счетами и электронными деньгами в режиме 24/7/365.</w:t>
      </w:r>
    </w:p>
    <w:p w14:paraId="509969F0" w14:textId="62F12F12" w:rsidR="00FC75D8" w:rsidRPr="003761A4" w:rsidRDefault="00FC75D8" w:rsidP="00C83D7E">
      <w:pPr>
        <w:rPr>
          <w:rFonts w:ascii="Times New Roman" w:hAnsi="Times New Roman" w:cs="Times New Roman"/>
          <w:sz w:val="24"/>
          <w:szCs w:val="24"/>
        </w:rPr>
      </w:pPr>
      <w:r w:rsidRPr="003761A4">
        <w:rPr>
          <w:rFonts w:ascii="Times New Roman" w:hAnsi="Times New Roman" w:cs="Times New Roman"/>
          <w:sz w:val="24"/>
          <w:szCs w:val="24"/>
        </w:rPr>
        <w:t>В целях развития банковской и платежной инфраструктур по приему платежей и расчетов за товары и услуги с использованием двухмерных символов штрихкода (QR-кода):</w:t>
      </w:r>
    </w:p>
    <w:p w14:paraId="2881F488" w14:textId="77777777" w:rsidR="00FC75D8" w:rsidRPr="003761A4" w:rsidRDefault="00FC75D8" w:rsidP="00C83D7E">
      <w:pPr>
        <w:rPr>
          <w:rFonts w:ascii="Times New Roman" w:hAnsi="Times New Roman" w:cs="Times New Roman"/>
          <w:sz w:val="24"/>
          <w:szCs w:val="24"/>
        </w:rPr>
      </w:pPr>
      <w:r w:rsidRPr="003761A4">
        <w:rPr>
          <w:rFonts w:ascii="Times New Roman" w:hAnsi="Times New Roman" w:cs="Times New Roman"/>
          <w:sz w:val="24"/>
          <w:szCs w:val="24"/>
        </w:rPr>
        <w:t xml:space="preserve">- подписана с государственными органами, коммерческим банком и ЗАО «МПЦ» дорожная карта по развитию способов оплаты государственных и других платежей и переводов посредством QR-кодов, в рамках которой запущен прием платежей за государственные услуги, в частности за услуги паспортизации, регистрацию/перерегистрацию автотранспорта, получение услуг по регистрации актов гражданского состояния и получения водительских удостоверений; </w:t>
      </w:r>
    </w:p>
    <w:p w14:paraId="1C8EBECE" w14:textId="77777777" w:rsidR="00FC75D8" w:rsidRPr="003761A4" w:rsidRDefault="00FC75D8" w:rsidP="00C83D7E">
      <w:pPr>
        <w:rPr>
          <w:rFonts w:ascii="Times New Roman" w:hAnsi="Times New Roman" w:cs="Times New Roman"/>
          <w:sz w:val="24"/>
          <w:szCs w:val="24"/>
        </w:rPr>
      </w:pPr>
      <w:r w:rsidRPr="003761A4">
        <w:rPr>
          <w:rFonts w:ascii="Times New Roman" w:hAnsi="Times New Roman" w:cs="Times New Roman"/>
          <w:sz w:val="24"/>
          <w:szCs w:val="24"/>
        </w:rPr>
        <w:t>- совместно с банками, ЗАО «МПЦ» и операторами платежных систем/платежными организациями завершены мероприятия по межсистемной интеграции платежных систем (банковские карты, электронные кошельки и мобильные приложения) и создано единое платежное пространство для проведения платежей и переводов через QR-коды. Проводится работа по расширению охвата ТСП услугами приема платежей с использованием QR-кода. Так, на 1 марта 2023 года по всей республике установлено 8 449 QR – кодов в ТСП.</w:t>
      </w:r>
    </w:p>
    <w:p w14:paraId="02BB3DB0" w14:textId="11CD590E" w:rsidR="00FC75D8" w:rsidRPr="003761A4" w:rsidRDefault="00FC75D8" w:rsidP="00FC75D8">
      <w:pPr>
        <w:spacing w:after="120"/>
        <w:rPr>
          <w:rFonts w:ascii="Times New Roman" w:hAnsi="Times New Roman" w:cs="Times New Roman"/>
          <w:sz w:val="24"/>
          <w:szCs w:val="24"/>
        </w:rPr>
      </w:pPr>
      <w:r w:rsidRPr="003761A4">
        <w:rPr>
          <w:rFonts w:ascii="Times New Roman" w:hAnsi="Times New Roman" w:cs="Times New Roman"/>
          <w:sz w:val="24"/>
          <w:szCs w:val="24"/>
        </w:rPr>
        <w:t xml:space="preserve"> В рамках специального регулятивного режима («регулятивной песочницы») три организации на основании временных лицензий Национального банка осуществляли следующие банковские операции: эмиссию </w:t>
      </w:r>
      <w:proofErr w:type="spellStart"/>
      <w:r w:rsidRPr="003761A4">
        <w:rPr>
          <w:rFonts w:ascii="Times New Roman" w:hAnsi="Times New Roman" w:cs="Times New Roman"/>
          <w:sz w:val="24"/>
          <w:szCs w:val="24"/>
        </w:rPr>
        <w:t>предвыпущенных</w:t>
      </w:r>
      <w:proofErr w:type="spellEnd"/>
      <w:r w:rsidRPr="003761A4">
        <w:rPr>
          <w:rFonts w:ascii="Times New Roman" w:hAnsi="Times New Roman" w:cs="Times New Roman"/>
          <w:sz w:val="24"/>
          <w:szCs w:val="24"/>
        </w:rPr>
        <w:t xml:space="preserve"> ограничено функциональных кредитных карт «</w:t>
      </w:r>
      <w:proofErr w:type="spellStart"/>
      <w:r w:rsidRPr="003761A4">
        <w:rPr>
          <w:rFonts w:ascii="Times New Roman" w:hAnsi="Times New Roman" w:cs="Times New Roman"/>
          <w:sz w:val="24"/>
          <w:szCs w:val="24"/>
        </w:rPr>
        <w:t>Элкарт</w:t>
      </w:r>
      <w:proofErr w:type="spellEnd"/>
      <w:r w:rsidRPr="003761A4">
        <w:rPr>
          <w:rFonts w:ascii="Times New Roman" w:hAnsi="Times New Roman" w:cs="Times New Roman"/>
          <w:sz w:val="24"/>
          <w:szCs w:val="24"/>
        </w:rPr>
        <w:t>» для выдачи кредитов в безналичной форме, эквайринг банковских карт, прием и обслуживание платежей с использованием QR-кода, выпуск (эмиссия) и погашение собственных электронных денег и выпуск (эмиссия) платежных карт доступа к электронным кошелькам. Тестирование одной организации признано успешным.</w:t>
      </w:r>
    </w:p>
    <w:p w14:paraId="261EA35C" w14:textId="58FD380D" w:rsidR="00FC75D8" w:rsidRPr="003761A4" w:rsidRDefault="00FC75D8" w:rsidP="00FC75D8">
      <w:pPr>
        <w:spacing w:after="120"/>
        <w:rPr>
          <w:rFonts w:ascii="Times New Roman" w:hAnsi="Times New Roman" w:cs="Times New Roman"/>
          <w:sz w:val="24"/>
          <w:szCs w:val="24"/>
        </w:rPr>
      </w:pPr>
      <w:r w:rsidRPr="003761A4">
        <w:rPr>
          <w:rFonts w:ascii="Times New Roman" w:hAnsi="Times New Roman" w:cs="Times New Roman"/>
          <w:sz w:val="24"/>
          <w:szCs w:val="24"/>
        </w:rPr>
        <w:t>В целях перехода на безналичные платежи и расчеты, достижения прозрачности денежного обращения и снижения доли теневой экономики принято постановление Кабинета Министров Кыргызской Республики и Национального банка Кыргызской Республики «О приеме платежей за государственные и муниципальные услуги в безналичной форме» от 16 декабря 2022 года.</w:t>
      </w:r>
    </w:p>
    <w:p w14:paraId="726650C1" w14:textId="38D2B273" w:rsidR="005C44CB" w:rsidRPr="003761A4" w:rsidRDefault="00FC75D8" w:rsidP="00FC75D8">
      <w:pPr>
        <w:spacing w:after="120"/>
        <w:rPr>
          <w:rFonts w:ascii="Times New Roman" w:hAnsi="Times New Roman" w:cs="Times New Roman"/>
          <w:sz w:val="24"/>
          <w:szCs w:val="24"/>
        </w:rPr>
      </w:pPr>
      <w:r w:rsidRPr="003761A4">
        <w:rPr>
          <w:rFonts w:ascii="Times New Roman" w:hAnsi="Times New Roman" w:cs="Times New Roman"/>
          <w:sz w:val="24"/>
          <w:szCs w:val="24"/>
        </w:rPr>
        <w:t>В 2022 году был принят Закон Кыргызской Республики «О виртуальных активах», согласно которому юридические лица, поднадзорные Национальному банку, осуществляющие деятельность, связанную с виртуальными активами, в качестве поставщика услуг виртуальных активов, будут регулироваться Национальным банком.</w:t>
      </w:r>
    </w:p>
    <w:p w14:paraId="3FABCECA" w14:textId="34BACDA9" w:rsidR="00C01080" w:rsidRPr="003761A4" w:rsidRDefault="00C83D7E" w:rsidP="00DB2F4B">
      <w:pPr>
        <w:pStyle w:val="3"/>
        <w:rPr>
          <w:rFonts w:ascii="Times New Roman" w:hAnsi="Times New Roman" w:cs="Times New Roman"/>
          <w:b/>
          <w:color w:val="auto"/>
          <w:lang w:val="ky-KG"/>
        </w:rPr>
      </w:pPr>
      <w:r w:rsidRPr="003761A4">
        <w:rPr>
          <w:rFonts w:ascii="Times New Roman" w:hAnsi="Times New Roman" w:cs="Times New Roman"/>
          <w:b/>
          <w:color w:val="auto"/>
          <w:lang w:val="ky-KG"/>
        </w:rPr>
        <w:t>Российская Федерация</w:t>
      </w:r>
    </w:p>
    <w:p w14:paraId="1838F699" w14:textId="0DF6ADE9" w:rsidR="0096737A" w:rsidRPr="003761A4" w:rsidRDefault="0096737A" w:rsidP="006B3A99">
      <w:pPr>
        <w:autoSpaceDE w:val="0"/>
        <w:autoSpaceDN w:val="0"/>
        <w:adjustRightInd w:val="0"/>
        <w:spacing w:after="120"/>
        <w:ind w:firstLine="708"/>
        <w:rPr>
          <w:rFonts w:ascii="Times New Roman" w:hAnsi="Times New Roman"/>
          <w:sz w:val="24"/>
          <w:szCs w:val="24"/>
        </w:rPr>
      </w:pPr>
      <w:r w:rsidRPr="003761A4">
        <w:rPr>
          <w:rFonts w:ascii="Times New Roman" w:hAnsi="Times New Roman"/>
          <w:b/>
          <w:sz w:val="24"/>
          <w:szCs w:val="24"/>
        </w:rPr>
        <w:t>В целях минимизации последствий ограничений, введенных иностранными государствами</w:t>
      </w:r>
      <w:r w:rsidRPr="003761A4">
        <w:rPr>
          <w:rFonts w:ascii="Times New Roman" w:hAnsi="Times New Roman"/>
          <w:sz w:val="24"/>
          <w:szCs w:val="24"/>
        </w:rPr>
        <w:t xml:space="preserve"> в отношении финансовых организаций, или возможных потенциальных ограничений в соответствии с Федеральным законом № 55-ФЗ</w:t>
      </w:r>
      <w:r w:rsidRPr="003761A4">
        <w:rPr>
          <w:rFonts w:ascii="Times New Roman" w:hAnsi="Times New Roman"/>
          <w:sz w:val="24"/>
          <w:szCs w:val="24"/>
          <w:vertAlign w:val="superscript"/>
        </w:rPr>
        <w:footnoteReference w:id="12"/>
      </w:r>
      <w:r w:rsidRPr="003761A4">
        <w:rPr>
          <w:rFonts w:ascii="Times New Roman" w:hAnsi="Times New Roman"/>
          <w:sz w:val="24"/>
          <w:szCs w:val="24"/>
        </w:rPr>
        <w:t xml:space="preserve"> Совет директоров Банка России определил</w:t>
      </w:r>
      <w:r w:rsidRPr="003761A4">
        <w:rPr>
          <w:rFonts w:ascii="Times New Roman" w:hAnsi="Times New Roman"/>
          <w:sz w:val="24"/>
          <w:szCs w:val="24"/>
          <w:vertAlign w:val="superscript"/>
        </w:rPr>
        <w:footnoteReference w:id="13"/>
      </w:r>
      <w:r w:rsidRPr="003761A4">
        <w:rPr>
          <w:rFonts w:ascii="Times New Roman" w:hAnsi="Times New Roman"/>
          <w:sz w:val="24"/>
          <w:szCs w:val="24"/>
        </w:rPr>
        <w:t xml:space="preserve"> </w:t>
      </w:r>
      <w:r w:rsidRPr="003761A4">
        <w:rPr>
          <w:rFonts w:ascii="Times New Roman" w:hAnsi="Times New Roman"/>
          <w:b/>
          <w:sz w:val="24"/>
          <w:szCs w:val="24"/>
        </w:rPr>
        <w:t>перечень информации, которую КО вправе не раскрывать</w:t>
      </w:r>
      <w:r w:rsidRPr="003761A4">
        <w:rPr>
          <w:rFonts w:ascii="Times New Roman" w:hAnsi="Times New Roman"/>
          <w:sz w:val="24"/>
          <w:szCs w:val="24"/>
        </w:rPr>
        <w:t xml:space="preserve">, а именно: информацию о реорганизации, лицах, под контролем либо значительным влиянием которых находятся КО (далее – </w:t>
      </w:r>
      <w:r w:rsidRPr="003761A4">
        <w:rPr>
          <w:rFonts w:ascii="Times New Roman" w:hAnsi="Times New Roman"/>
          <w:b/>
          <w:sz w:val="24"/>
          <w:szCs w:val="24"/>
        </w:rPr>
        <w:t>информация о структуре собственности</w:t>
      </w:r>
      <w:r w:rsidRPr="003761A4">
        <w:rPr>
          <w:rFonts w:ascii="Times New Roman" w:hAnsi="Times New Roman"/>
          <w:sz w:val="24"/>
          <w:szCs w:val="24"/>
        </w:rPr>
        <w:t xml:space="preserve"> КО),  членах органов управления и иных должностных лицах кредитных организаций,  существенных фактах (событиях, действиях), затрагивающих финансово-хозяйственную деятельность кредитной организации, реорганизуемой в форме слияния, присоединения и преобразования. Одновременно на основании предоставленных указанным законом полномочий Совет директоров Банка России   определил перечень информации, которую Банк России не размещает на своем официальном сайте, а также принял решение об удалении с сайта </w:t>
      </w:r>
      <w:proofErr w:type="gramStart"/>
      <w:r w:rsidRPr="003761A4">
        <w:rPr>
          <w:rFonts w:ascii="Times New Roman" w:hAnsi="Times New Roman"/>
          <w:sz w:val="24"/>
          <w:szCs w:val="24"/>
        </w:rPr>
        <w:t>Банка России</w:t>
      </w:r>
      <w:proofErr w:type="gramEnd"/>
      <w:r w:rsidRPr="003761A4">
        <w:rPr>
          <w:rFonts w:ascii="Times New Roman" w:hAnsi="Times New Roman"/>
          <w:sz w:val="24"/>
          <w:szCs w:val="24"/>
        </w:rPr>
        <w:t xml:space="preserve"> ранее размещенной в соответствии с требованиями законодательства перечисленной выше информации </w:t>
      </w:r>
      <w:r w:rsidR="002C215E" w:rsidRPr="003761A4">
        <w:rPr>
          <w:rFonts w:ascii="Times New Roman" w:hAnsi="Times New Roman"/>
          <w:sz w:val="24"/>
          <w:szCs w:val="24"/>
        </w:rPr>
        <w:t>и информации</w:t>
      </w:r>
      <w:r w:rsidRPr="003761A4">
        <w:rPr>
          <w:rFonts w:ascii="Times New Roman" w:hAnsi="Times New Roman"/>
          <w:sz w:val="24"/>
          <w:szCs w:val="24"/>
        </w:rPr>
        <w:t xml:space="preserve"> о контролирующих кредитные организации лицах. </w:t>
      </w:r>
    </w:p>
    <w:p w14:paraId="5C590FFD" w14:textId="77777777" w:rsidR="0096737A" w:rsidRPr="003761A4" w:rsidRDefault="0096737A" w:rsidP="0096737A">
      <w:pPr>
        <w:autoSpaceDE w:val="0"/>
        <w:autoSpaceDN w:val="0"/>
        <w:adjustRightInd w:val="0"/>
        <w:spacing w:after="120"/>
        <w:ind w:firstLine="0"/>
        <w:rPr>
          <w:rFonts w:ascii="Times New Roman" w:hAnsi="Times New Roman"/>
          <w:sz w:val="24"/>
          <w:szCs w:val="24"/>
        </w:rPr>
      </w:pPr>
      <w:r w:rsidRPr="003761A4">
        <w:rPr>
          <w:rFonts w:ascii="Times New Roman" w:hAnsi="Times New Roman"/>
          <w:sz w:val="24"/>
          <w:szCs w:val="24"/>
        </w:rPr>
        <w:tab/>
        <w:t>Меры, предусмотренные решением Совета директоров Банка России от 18.03.2022, продлены до 01.07.2023 решением Совета директоров Банка России от 23.12.2022</w:t>
      </w:r>
      <w:r w:rsidRPr="003761A4">
        <w:rPr>
          <w:rFonts w:ascii="Times New Roman" w:hAnsi="Times New Roman"/>
          <w:sz w:val="24"/>
          <w:szCs w:val="24"/>
          <w:vertAlign w:val="superscript"/>
        </w:rPr>
        <w:footnoteReference w:id="14"/>
      </w:r>
      <w:r w:rsidRPr="003761A4">
        <w:rPr>
          <w:rFonts w:ascii="Times New Roman" w:hAnsi="Times New Roman"/>
          <w:sz w:val="24"/>
          <w:szCs w:val="24"/>
        </w:rPr>
        <w:t>.</w:t>
      </w:r>
    </w:p>
    <w:p w14:paraId="5FC756E4" w14:textId="77777777" w:rsidR="0096737A" w:rsidRPr="003761A4" w:rsidRDefault="0096737A" w:rsidP="0096737A">
      <w:pPr>
        <w:autoSpaceDE w:val="0"/>
        <w:autoSpaceDN w:val="0"/>
        <w:adjustRightInd w:val="0"/>
        <w:spacing w:after="120"/>
        <w:ind w:firstLine="0"/>
        <w:rPr>
          <w:rFonts w:ascii="Times New Roman" w:hAnsi="Times New Roman"/>
          <w:sz w:val="24"/>
          <w:szCs w:val="24"/>
        </w:rPr>
      </w:pPr>
      <w:r w:rsidRPr="003761A4">
        <w:rPr>
          <w:rFonts w:ascii="Times New Roman" w:hAnsi="Times New Roman"/>
          <w:sz w:val="24"/>
          <w:szCs w:val="24"/>
        </w:rPr>
        <w:tab/>
        <w:t>Статьей 8 Федерального закона № 292-ФЗ</w:t>
      </w:r>
      <w:r w:rsidRPr="003761A4">
        <w:rPr>
          <w:rFonts w:ascii="Times New Roman" w:hAnsi="Times New Roman"/>
          <w:sz w:val="24"/>
          <w:szCs w:val="24"/>
          <w:vertAlign w:val="superscript"/>
        </w:rPr>
        <w:footnoteReference w:id="15"/>
      </w:r>
      <w:r w:rsidRPr="003761A4">
        <w:rPr>
          <w:rFonts w:ascii="Times New Roman" w:hAnsi="Times New Roman"/>
          <w:sz w:val="24"/>
          <w:szCs w:val="24"/>
        </w:rPr>
        <w:t xml:space="preserve"> установлено, что КО, в отношении которых иностранными государствами и международными организациями введены ограничительные меры, вправе осуществлять реорганизацию в форме выделения из своего состава юридического лица (юридических лиц), за исключением КО, с учетом особенностей, установленных указанной статьей. Федеральным законом № 292-ФЗ установлена обязанность не уведомлять иностранных кредиторов из недружественных стран о реорганизации кредитной организации в форме выделения из своего состава юридического лица (юридических лиц) и, соответственно, не раскрывать в публичных источниках информацию о существенных фактах (событиях, действиях), затрагивающих финансово-хозяйственную деятельность данной кредитной организации, до завершения процедуры реорганизации. При этом в силу прямой нормы Федерального закона № 292-ФЗ указанные кредиторы не вправе требовать досрочного исполнения или прекращения обязательств и возмещения связанных с реорганизацией убытков.</w:t>
      </w:r>
    </w:p>
    <w:p w14:paraId="7D5D5DF0" w14:textId="77777777" w:rsidR="0096737A" w:rsidRPr="003761A4" w:rsidRDefault="0096737A" w:rsidP="0096737A">
      <w:pPr>
        <w:autoSpaceDE w:val="0"/>
        <w:autoSpaceDN w:val="0"/>
        <w:adjustRightInd w:val="0"/>
        <w:spacing w:after="120"/>
        <w:ind w:firstLine="0"/>
        <w:rPr>
          <w:rFonts w:ascii="Times New Roman" w:hAnsi="Times New Roman"/>
          <w:sz w:val="24"/>
          <w:szCs w:val="24"/>
        </w:rPr>
      </w:pPr>
      <w:r w:rsidRPr="003761A4">
        <w:rPr>
          <w:rFonts w:ascii="Times New Roman" w:hAnsi="Times New Roman"/>
          <w:sz w:val="24"/>
          <w:szCs w:val="24"/>
        </w:rPr>
        <w:tab/>
        <w:t>Советом директоров Банка России 27.09.2022 принято решение во исполнение части 13 статьи 8 Федерального закона № 292-ФЗ в части определения формы документа, подтверждающего решение Банка России о согласовании реорганизации КО в установленном указанным законом случае, требований к содержанию такого документа и порядка его получения реорганизуемой КО.</w:t>
      </w:r>
    </w:p>
    <w:p w14:paraId="01E9BCB9" w14:textId="77777777" w:rsidR="0096737A" w:rsidRPr="003761A4" w:rsidRDefault="0096737A" w:rsidP="0096737A">
      <w:pPr>
        <w:autoSpaceDE w:val="0"/>
        <w:autoSpaceDN w:val="0"/>
        <w:adjustRightInd w:val="0"/>
        <w:spacing w:after="120"/>
        <w:ind w:firstLine="0"/>
        <w:rPr>
          <w:rFonts w:ascii="Times New Roman" w:hAnsi="Times New Roman"/>
          <w:sz w:val="24"/>
          <w:szCs w:val="24"/>
        </w:rPr>
      </w:pPr>
      <w:r w:rsidRPr="003761A4">
        <w:rPr>
          <w:rFonts w:ascii="Times New Roman" w:hAnsi="Times New Roman"/>
          <w:sz w:val="24"/>
          <w:szCs w:val="24"/>
        </w:rPr>
        <w:tab/>
        <w:t>Банк России принял участие в подготовке Указов Президента Российской Федерации</w:t>
      </w:r>
      <w:r w:rsidRPr="003761A4" w:rsidDel="0090672F">
        <w:rPr>
          <w:rFonts w:ascii="Times New Roman" w:hAnsi="Times New Roman"/>
          <w:sz w:val="24"/>
          <w:szCs w:val="24"/>
        </w:rPr>
        <w:t xml:space="preserve"> </w:t>
      </w:r>
      <w:r w:rsidRPr="003761A4">
        <w:rPr>
          <w:rFonts w:ascii="Times New Roman" w:hAnsi="Times New Roman"/>
          <w:sz w:val="24"/>
          <w:szCs w:val="24"/>
        </w:rPr>
        <w:t>№ 520</w:t>
      </w:r>
      <w:r w:rsidRPr="003761A4">
        <w:rPr>
          <w:rFonts w:ascii="Times New Roman" w:hAnsi="Times New Roman"/>
          <w:sz w:val="24"/>
          <w:szCs w:val="24"/>
          <w:vertAlign w:val="superscript"/>
        </w:rPr>
        <w:footnoteReference w:id="16"/>
      </w:r>
      <w:r w:rsidRPr="003761A4">
        <w:rPr>
          <w:rFonts w:ascii="Times New Roman" w:hAnsi="Times New Roman"/>
          <w:sz w:val="24"/>
          <w:szCs w:val="24"/>
        </w:rPr>
        <w:t xml:space="preserve"> и № 737</w:t>
      </w:r>
      <w:r w:rsidRPr="003761A4">
        <w:rPr>
          <w:rFonts w:ascii="Times New Roman" w:hAnsi="Times New Roman"/>
          <w:sz w:val="24"/>
          <w:szCs w:val="24"/>
          <w:vertAlign w:val="superscript"/>
        </w:rPr>
        <w:footnoteReference w:id="17"/>
      </w:r>
      <w:r w:rsidRPr="003761A4">
        <w:rPr>
          <w:rFonts w:ascii="Times New Roman" w:hAnsi="Times New Roman"/>
          <w:sz w:val="24"/>
          <w:szCs w:val="24"/>
        </w:rPr>
        <w:t>, а также перечня российских КО, в отношении которых установлен запрет на сделки (операции) с акциями, долями (вкладами), составляющими их уставные капиталы, утвержденного распоряжением Президента Российской Федерации № 357-рп</w:t>
      </w:r>
      <w:r w:rsidRPr="003761A4">
        <w:rPr>
          <w:rFonts w:ascii="Times New Roman" w:hAnsi="Times New Roman"/>
          <w:sz w:val="24"/>
          <w:szCs w:val="24"/>
          <w:vertAlign w:val="superscript"/>
        </w:rPr>
        <w:footnoteReference w:id="18"/>
      </w:r>
      <w:r w:rsidRPr="003761A4">
        <w:rPr>
          <w:rFonts w:ascii="Times New Roman" w:hAnsi="Times New Roman"/>
          <w:sz w:val="24"/>
          <w:szCs w:val="24"/>
        </w:rPr>
        <w:t xml:space="preserve">. </w:t>
      </w:r>
    </w:p>
    <w:p w14:paraId="7EF9B47C" w14:textId="77777777" w:rsidR="0096737A" w:rsidRPr="003761A4" w:rsidRDefault="0096737A" w:rsidP="0096737A">
      <w:pPr>
        <w:autoSpaceDE w:val="0"/>
        <w:autoSpaceDN w:val="0"/>
        <w:adjustRightInd w:val="0"/>
        <w:spacing w:after="120"/>
        <w:ind w:firstLine="0"/>
        <w:rPr>
          <w:rFonts w:ascii="Times New Roman" w:hAnsi="Times New Roman"/>
          <w:sz w:val="24"/>
          <w:szCs w:val="24"/>
        </w:rPr>
      </w:pPr>
      <w:r w:rsidRPr="003761A4">
        <w:rPr>
          <w:rFonts w:ascii="Times New Roman" w:hAnsi="Times New Roman"/>
          <w:sz w:val="24"/>
          <w:szCs w:val="24"/>
        </w:rPr>
        <w:tab/>
        <w:t>Банком России и Росфинмониторингом подписано Дополнительное соглашение № 3 к Генеральному соглашению об информационном взаимодействии</w:t>
      </w:r>
      <w:r w:rsidRPr="003761A4">
        <w:rPr>
          <w:rFonts w:ascii="Times New Roman" w:hAnsi="Times New Roman"/>
          <w:sz w:val="24"/>
          <w:szCs w:val="24"/>
          <w:vertAlign w:val="superscript"/>
        </w:rPr>
        <w:footnoteReference w:id="19"/>
      </w:r>
      <w:r w:rsidRPr="003761A4">
        <w:rPr>
          <w:rFonts w:ascii="Times New Roman" w:hAnsi="Times New Roman"/>
          <w:sz w:val="24"/>
          <w:szCs w:val="24"/>
        </w:rPr>
        <w:t xml:space="preserve">. Дополнительным соглашением устанавливается, что Росфинмониторинг будет направлять в Банк России имеющиеся у него сведения о бенефициарных владельцах юридических </w:t>
      </w:r>
      <w:proofErr w:type="gramStart"/>
      <w:r w:rsidRPr="003761A4">
        <w:rPr>
          <w:rFonts w:ascii="Times New Roman" w:hAnsi="Times New Roman"/>
          <w:sz w:val="24"/>
          <w:szCs w:val="24"/>
        </w:rPr>
        <w:t>лиц в случае если</w:t>
      </w:r>
      <w:proofErr w:type="gramEnd"/>
      <w:r w:rsidRPr="003761A4">
        <w:rPr>
          <w:rFonts w:ascii="Times New Roman" w:hAnsi="Times New Roman"/>
          <w:sz w:val="24"/>
          <w:szCs w:val="24"/>
        </w:rPr>
        <w:t xml:space="preserve"> такие сведения не совпадают со сведениями в составе информации о контролирующих лицах, направляемой Банком России в Росфинмониторинг.</w:t>
      </w:r>
    </w:p>
    <w:p w14:paraId="4C8DEA7D" w14:textId="77777777" w:rsidR="0096737A" w:rsidRPr="003761A4" w:rsidRDefault="0096737A" w:rsidP="0096737A">
      <w:pPr>
        <w:autoSpaceDE w:val="0"/>
        <w:autoSpaceDN w:val="0"/>
        <w:adjustRightInd w:val="0"/>
        <w:spacing w:after="120"/>
        <w:ind w:firstLine="0"/>
        <w:rPr>
          <w:rFonts w:ascii="Times New Roman" w:hAnsi="Times New Roman"/>
          <w:sz w:val="24"/>
          <w:szCs w:val="24"/>
        </w:rPr>
      </w:pPr>
      <w:r w:rsidRPr="003761A4">
        <w:rPr>
          <w:rFonts w:ascii="Times New Roman" w:hAnsi="Times New Roman"/>
          <w:sz w:val="24"/>
          <w:szCs w:val="24"/>
        </w:rPr>
        <w:tab/>
        <w:t>Решением Совета директоров Банка России</w:t>
      </w:r>
      <w:r w:rsidRPr="003761A4">
        <w:rPr>
          <w:rFonts w:ascii="Times New Roman" w:hAnsi="Times New Roman"/>
          <w:sz w:val="24"/>
          <w:szCs w:val="24"/>
          <w:vertAlign w:val="superscript"/>
        </w:rPr>
        <w:footnoteReference w:id="20"/>
      </w:r>
      <w:r w:rsidRPr="003761A4">
        <w:rPr>
          <w:rFonts w:ascii="Times New Roman" w:hAnsi="Times New Roman"/>
          <w:sz w:val="24"/>
          <w:szCs w:val="24"/>
        </w:rPr>
        <w:t xml:space="preserve"> установлены уровни кредитных рейтингов по национальной рейтинговой шкале, присваиваемые четырьмя кредитными рейтинговыми агентствами, внесенными Банком России в реестр кредитных рейтинговых агентств (АКРА (АО), АО «Эксперт РА», ООО «НКР» и ООО «НРА», далее – российские КРА), в целях применения Положения № 626-П</w:t>
      </w:r>
      <w:r w:rsidRPr="003761A4">
        <w:rPr>
          <w:rFonts w:ascii="Times New Roman" w:hAnsi="Times New Roman"/>
          <w:sz w:val="24"/>
          <w:szCs w:val="24"/>
          <w:vertAlign w:val="superscript"/>
        </w:rPr>
        <w:footnoteReference w:id="21"/>
      </w:r>
      <w:r w:rsidRPr="003761A4">
        <w:rPr>
          <w:rFonts w:ascii="Times New Roman" w:hAnsi="Times New Roman"/>
          <w:sz w:val="24"/>
          <w:szCs w:val="24"/>
        </w:rPr>
        <w:t xml:space="preserve"> и Инструкции № 135-И</w:t>
      </w:r>
      <w:r w:rsidRPr="003761A4">
        <w:rPr>
          <w:rFonts w:ascii="Times New Roman" w:hAnsi="Times New Roman"/>
          <w:sz w:val="24"/>
          <w:szCs w:val="24"/>
          <w:vertAlign w:val="superscript"/>
        </w:rPr>
        <w:footnoteReference w:id="22"/>
      </w:r>
      <w:r w:rsidRPr="003761A4">
        <w:rPr>
          <w:rFonts w:ascii="Times New Roman" w:hAnsi="Times New Roman"/>
          <w:sz w:val="24"/>
          <w:szCs w:val="24"/>
        </w:rPr>
        <w:t>. В указанных целях установлены уровни кредитных рейтингов, присваиваемые российскими КРА, установлены исходя из таблицы сопоставления рейтинговых шкал российских и международных кредитных рейтинговых агентств.</w:t>
      </w:r>
    </w:p>
    <w:p w14:paraId="7B69AE79" w14:textId="77777777" w:rsidR="0096737A" w:rsidRPr="003761A4" w:rsidRDefault="0096737A" w:rsidP="0096737A">
      <w:pPr>
        <w:autoSpaceDE w:val="0"/>
        <w:autoSpaceDN w:val="0"/>
        <w:adjustRightInd w:val="0"/>
        <w:spacing w:after="120"/>
        <w:ind w:firstLine="0"/>
        <w:rPr>
          <w:rFonts w:ascii="Times New Roman" w:hAnsi="Times New Roman"/>
          <w:sz w:val="24"/>
          <w:szCs w:val="24"/>
        </w:rPr>
      </w:pPr>
      <w:r w:rsidRPr="003761A4">
        <w:rPr>
          <w:rFonts w:ascii="Times New Roman" w:hAnsi="Times New Roman"/>
          <w:sz w:val="24"/>
          <w:szCs w:val="24"/>
        </w:rPr>
        <w:tab/>
        <w:t>Наличие у российского юридического лица, присвоенного одним из российских КРА национального кредитного рейтинга не ниже уровня, установленного решением Совета директоров Банка России, влечет ряд особенностей применения требований нормативных актов Банка России, в том числе в части представления таким лицом сокращенного комплекта документов.</w:t>
      </w:r>
    </w:p>
    <w:p w14:paraId="20575BD5" w14:textId="77777777" w:rsidR="0096737A" w:rsidRPr="003761A4" w:rsidRDefault="0096737A" w:rsidP="0096737A">
      <w:pPr>
        <w:keepNext/>
        <w:spacing w:after="120"/>
        <w:ind w:firstLine="0"/>
        <w:rPr>
          <w:rFonts w:ascii="Times New Roman" w:hAnsi="Times New Roman"/>
          <w:b/>
          <w:sz w:val="24"/>
          <w:szCs w:val="24"/>
        </w:rPr>
      </w:pPr>
      <w:r w:rsidRPr="003761A4">
        <w:rPr>
          <w:rFonts w:ascii="Times New Roman" w:hAnsi="Times New Roman"/>
          <w:b/>
          <w:sz w:val="24"/>
          <w:szCs w:val="24"/>
        </w:rPr>
        <w:tab/>
        <w:t>В целях совершенствования процедуры допуска на финансовый рынок финансовых организаций в отчетном периоде изданы нормативные акты:</w:t>
      </w:r>
    </w:p>
    <w:p w14:paraId="526AC83B" w14:textId="77777777" w:rsidR="0096737A" w:rsidRPr="003761A4" w:rsidRDefault="0096737A" w:rsidP="0096737A">
      <w:pPr>
        <w:pStyle w:val="a3"/>
        <w:numPr>
          <w:ilvl w:val="0"/>
          <w:numId w:val="32"/>
        </w:numPr>
        <w:spacing w:after="120"/>
        <w:ind w:left="426" w:hanging="426"/>
        <w:contextualSpacing w:val="0"/>
        <w:rPr>
          <w:rFonts w:ascii="Times New Roman" w:hAnsi="Times New Roman"/>
          <w:sz w:val="24"/>
          <w:szCs w:val="24"/>
          <w:lang w:eastAsia="ru-RU"/>
        </w:rPr>
      </w:pPr>
      <w:r w:rsidRPr="003761A4">
        <w:rPr>
          <w:rFonts w:ascii="Times New Roman" w:hAnsi="Times New Roman"/>
          <w:sz w:val="24"/>
          <w:szCs w:val="24"/>
          <w:lang w:eastAsia="ru-RU"/>
        </w:rPr>
        <w:t>Положение Банка России от 29.06.2022 № 798-П</w:t>
      </w:r>
      <w:r w:rsidRPr="003761A4">
        <w:rPr>
          <w:rFonts w:ascii="Times New Roman" w:hAnsi="Times New Roman"/>
          <w:sz w:val="24"/>
          <w:szCs w:val="24"/>
          <w:vertAlign w:val="superscript"/>
          <w:lang w:eastAsia="ru-RU"/>
        </w:rPr>
        <w:footnoteReference w:id="23"/>
      </w:r>
      <w:r w:rsidRPr="003761A4">
        <w:rPr>
          <w:rFonts w:ascii="Times New Roman" w:hAnsi="Times New Roman"/>
          <w:sz w:val="24"/>
          <w:szCs w:val="24"/>
          <w:lang w:eastAsia="ru-RU"/>
        </w:rPr>
        <w:t>, упрощающее c 01.04.2023 порядок получения разрешений на дополнительные виды профессиональной деятельности на рынке ценных бумаг, когда возможность такого совмещения предусмотрена законодательством.</w:t>
      </w:r>
    </w:p>
    <w:p w14:paraId="65904EB5" w14:textId="77777777" w:rsidR="0096737A" w:rsidRPr="003761A4" w:rsidRDefault="0096737A" w:rsidP="0096737A">
      <w:pPr>
        <w:autoSpaceDE w:val="0"/>
        <w:autoSpaceDN w:val="0"/>
        <w:adjustRightInd w:val="0"/>
        <w:spacing w:after="120"/>
        <w:ind w:left="426" w:firstLine="0"/>
        <w:rPr>
          <w:rFonts w:ascii="Times New Roman" w:hAnsi="Times New Roman"/>
          <w:sz w:val="24"/>
          <w:szCs w:val="24"/>
        </w:rPr>
      </w:pPr>
      <w:r w:rsidRPr="003761A4">
        <w:rPr>
          <w:rFonts w:ascii="Times New Roman" w:hAnsi="Times New Roman"/>
          <w:sz w:val="24"/>
          <w:szCs w:val="24"/>
        </w:rPr>
        <w:t>Теперь указанные финансовые организации смогут в кратчайшие сроки получить право на осуществление новых видов деятельности на рынке ценных бумаг. Такой подход к регулированию существенно снизит регуляторную нагрузку для отдельных действующих участников финансового рынка, будет способствовать насыщению рынка конкурентоспособными организациями и появлению простых и удобных сервисов для клиентов.</w:t>
      </w:r>
    </w:p>
    <w:p w14:paraId="6C285656" w14:textId="77777777" w:rsidR="0096737A" w:rsidRPr="003761A4" w:rsidRDefault="0096737A" w:rsidP="0096737A">
      <w:pPr>
        <w:autoSpaceDE w:val="0"/>
        <w:autoSpaceDN w:val="0"/>
        <w:adjustRightInd w:val="0"/>
        <w:spacing w:after="120"/>
        <w:ind w:left="426" w:firstLine="0"/>
        <w:rPr>
          <w:rFonts w:ascii="Times New Roman" w:hAnsi="Times New Roman"/>
          <w:sz w:val="24"/>
          <w:szCs w:val="24"/>
        </w:rPr>
      </w:pPr>
      <w:r w:rsidRPr="003761A4">
        <w:rPr>
          <w:rFonts w:ascii="Times New Roman" w:hAnsi="Times New Roman"/>
          <w:sz w:val="24"/>
          <w:szCs w:val="24"/>
        </w:rPr>
        <w:t>Так, например, КО на следующий рабочий день после обращения в Банк России получат право на осуществление брокерской, дилерской деятельности, деятельности по управлению ценными бумагами и деятельности по инвестиционному консультированию, что существенно расширит спектр услуг, предоставляемых своим клиентам.</w:t>
      </w:r>
    </w:p>
    <w:p w14:paraId="62850040" w14:textId="77777777" w:rsidR="0096737A" w:rsidRPr="003761A4" w:rsidRDefault="0096737A" w:rsidP="0096737A">
      <w:pPr>
        <w:autoSpaceDE w:val="0"/>
        <w:autoSpaceDN w:val="0"/>
        <w:adjustRightInd w:val="0"/>
        <w:spacing w:after="120"/>
        <w:ind w:left="426" w:firstLine="0"/>
        <w:rPr>
          <w:rFonts w:ascii="Times New Roman" w:hAnsi="Times New Roman"/>
          <w:sz w:val="24"/>
          <w:szCs w:val="24"/>
        </w:rPr>
      </w:pPr>
      <w:r w:rsidRPr="003761A4">
        <w:rPr>
          <w:rFonts w:ascii="Times New Roman" w:hAnsi="Times New Roman"/>
          <w:sz w:val="24"/>
          <w:szCs w:val="24"/>
        </w:rPr>
        <w:t>Для клиентов КО после получения ею права на осуществление отдельных видов профессиональной деятельности на рынке ценных бумаг появится возможность получать услуги (брокера, доверительного управляющего, инвестиционного советника) без обращения к сторонней организации.</w:t>
      </w:r>
    </w:p>
    <w:p w14:paraId="23677D61" w14:textId="77777777" w:rsidR="0096737A" w:rsidRPr="003761A4" w:rsidRDefault="0096737A" w:rsidP="0096737A">
      <w:pPr>
        <w:pStyle w:val="a3"/>
        <w:numPr>
          <w:ilvl w:val="0"/>
          <w:numId w:val="32"/>
        </w:numPr>
        <w:spacing w:after="120"/>
        <w:ind w:left="426" w:hanging="426"/>
        <w:contextualSpacing w:val="0"/>
        <w:rPr>
          <w:rFonts w:ascii="Times New Roman" w:hAnsi="Times New Roman"/>
          <w:sz w:val="24"/>
          <w:szCs w:val="24"/>
          <w:lang w:eastAsia="ru-RU"/>
        </w:rPr>
      </w:pPr>
      <w:r w:rsidRPr="003761A4">
        <w:rPr>
          <w:rFonts w:ascii="Times New Roman" w:hAnsi="Times New Roman"/>
          <w:sz w:val="24"/>
          <w:szCs w:val="24"/>
          <w:lang w:eastAsia="ru-RU"/>
        </w:rPr>
        <w:t>Указание Банка России от 12.04.2021 № 5774-У</w:t>
      </w:r>
      <w:r w:rsidRPr="003761A4">
        <w:rPr>
          <w:rFonts w:ascii="Times New Roman" w:hAnsi="Times New Roman"/>
          <w:sz w:val="24"/>
          <w:szCs w:val="24"/>
          <w:vertAlign w:val="superscript"/>
          <w:lang w:eastAsia="ru-RU"/>
        </w:rPr>
        <w:footnoteReference w:id="24"/>
      </w:r>
      <w:r w:rsidRPr="003761A4">
        <w:rPr>
          <w:rFonts w:ascii="Times New Roman" w:hAnsi="Times New Roman"/>
          <w:sz w:val="24"/>
          <w:szCs w:val="24"/>
          <w:lang w:eastAsia="ru-RU"/>
        </w:rPr>
        <w:t xml:space="preserve">, изменяющее с 01.04.2022 порядок направления уведомлений о возложении временного исполнения обязанностей должностного лица КО и рядом </w:t>
      </w:r>
      <w:proofErr w:type="spellStart"/>
      <w:r w:rsidRPr="003761A4">
        <w:rPr>
          <w:rFonts w:ascii="Times New Roman" w:hAnsi="Times New Roman"/>
          <w:sz w:val="24"/>
          <w:szCs w:val="24"/>
          <w:lang w:eastAsia="ru-RU"/>
        </w:rPr>
        <w:t>некредитных</w:t>
      </w:r>
      <w:proofErr w:type="spellEnd"/>
      <w:r w:rsidRPr="003761A4">
        <w:rPr>
          <w:rFonts w:ascii="Times New Roman" w:hAnsi="Times New Roman"/>
          <w:sz w:val="24"/>
          <w:szCs w:val="24"/>
          <w:lang w:eastAsia="ru-RU"/>
        </w:rPr>
        <w:t xml:space="preserve"> финансовых организаций в Банк России.</w:t>
      </w:r>
    </w:p>
    <w:p w14:paraId="5441BBD1" w14:textId="77777777" w:rsidR="0096737A" w:rsidRPr="003761A4" w:rsidRDefault="0096737A" w:rsidP="0096737A">
      <w:pPr>
        <w:pStyle w:val="a3"/>
        <w:numPr>
          <w:ilvl w:val="0"/>
          <w:numId w:val="32"/>
        </w:numPr>
        <w:spacing w:after="120"/>
        <w:ind w:left="426" w:hanging="426"/>
        <w:contextualSpacing w:val="0"/>
        <w:rPr>
          <w:rFonts w:ascii="Times New Roman" w:hAnsi="Times New Roman"/>
          <w:sz w:val="24"/>
          <w:szCs w:val="24"/>
          <w:lang w:eastAsia="ru-RU"/>
        </w:rPr>
      </w:pPr>
      <w:r w:rsidRPr="003761A4">
        <w:rPr>
          <w:rFonts w:ascii="Times New Roman" w:hAnsi="Times New Roman"/>
          <w:sz w:val="24"/>
          <w:szCs w:val="24"/>
          <w:lang w:eastAsia="ru-RU"/>
        </w:rPr>
        <w:t>Указанием упрощена процедура уведомления финансовыми организациями Банка России о возложении (о прекращении) временного исполнения обязанностей должностного лица финансовой организации.  Финансовая организация  направляет в Банк России по окончании квартала (не позднее трех рабочих дней со дня его окончания) уведомление обо всех фактах временного исполнения обязанностей должностных лиц финансовой организации лицами, в отношении которых Банк России ранее проводил оценку их соответствия квалификационным требованиям и требованиям к деловой репутации, предъявляемым к лицу, занимающему такую должность (временно исполняющему обязанности по такой должности), и Банком России не направлялось предписание в связи с выявлением несоответствия указанным требованиям.</w:t>
      </w:r>
    </w:p>
    <w:p w14:paraId="78CF28FF" w14:textId="77777777" w:rsidR="0096737A" w:rsidRPr="003761A4" w:rsidRDefault="0096737A" w:rsidP="0096737A">
      <w:pPr>
        <w:pStyle w:val="a3"/>
        <w:numPr>
          <w:ilvl w:val="0"/>
          <w:numId w:val="32"/>
        </w:numPr>
        <w:spacing w:after="120"/>
        <w:ind w:left="426" w:hanging="426"/>
        <w:contextualSpacing w:val="0"/>
        <w:rPr>
          <w:rFonts w:ascii="Times New Roman" w:hAnsi="Times New Roman"/>
          <w:sz w:val="24"/>
          <w:szCs w:val="24"/>
          <w:lang w:eastAsia="ru-RU"/>
        </w:rPr>
      </w:pPr>
      <w:r w:rsidRPr="003761A4">
        <w:rPr>
          <w:rFonts w:ascii="Times New Roman" w:hAnsi="Times New Roman"/>
          <w:sz w:val="24"/>
          <w:szCs w:val="24"/>
          <w:lang w:eastAsia="ru-RU"/>
        </w:rPr>
        <w:t>Указание Банка России от 12.04.2021 № 5775-У</w:t>
      </w:r>
      <w:r w:rsidRPr="003761A4">
        <w:rPr>
          <w:rFonts w:ascii="Times New Roman" w:hAnsi="Times New Roman"/>
          <w:sz w:val="24"/>
          <w:szCs w:val="24"/>
          <w:vertAlign w:val="superscript"/>
          <w:lang w:eastAsia="ru-RU"/>
        </w:rPr>
        <w:footnoteReference w:id="25"/>
      </w:r>
      <w:r w:rsidRPr="003761A4">
        <w:rPr>
          <w:rFonts w:ascii="Times New Roman" w:hAnsi="Times New Roman"/>
          <w:sz w:val="24"/>
          <w:szCs w:val="24"/>
          <w:lang w:eastAsia="ru-RU"/>
        </w:rPr>
        <w:t>, упрощающее с 01.04.2022 процедуры открытия КО и их филиалами внутренних структурных подразделений.</w:t>
      </w:r>
    </w:p>
    <w:p w14:paraId="3E64CA4E" w14:textId="77777777" w:rsidR="0096737A" w:rsidRPr="003761A4" w:rsidRDefault="0096737A" w:rsidP="0096737A">
      <w:pPr>
        <w:autoSpaceDE w:val="0"/>
        <w:autoSpaceDN w:val="0"/>
        <w:adjustRightInd w:val="0"/>
        <w:spacing w:after="120"/>
        <w:ind w:left="426" w:firstLine="0"/>
        <w:rPr>
          <w:rFonts w:ascii="Times New Roman" w:hAnsi="Times New Roman"/>
          <w:sz w:val="24"/>
          <w:szCs w:val="24"/>
        </w:rPr>
      </w:pPr>
      <w:r w:rsidRPr="003761A4">
        <w:rPr>
          <w:rFonts w:ascii="Times New Roman" w:hAnsi="Times New Roman"/>
          <w:sz w:val="24"/>
          <w:szCs w:val="24"/>
        </w:rPr>
        <w:t>Вместо нескольких видов внутренних структурных подразделений предусмотрен один универсальный вид – дополнительный офис (за исключением передвижного пункта кассовых операций). Внутреннему структурному подразделению могут быть разрешены все операции, которые может осуществлять КО или ее филиал.</w:t>
      </w:r>
    </w:p>
    <w:p w14:paraId="3BB1DBFE" w14:textId="77777777" w:rsidR="0096737A" w:rsidRPr="003761A4" w:rsidRDefault="0096737A" w:rsidP="0096737A">
      <w:pPr>
        <w:autoSpaceDE w:val="0"/>
        <w:autoSpaceDN w:val="0"/>
        <w:adjustRightInd w:val="0"/>
        <w:spacing w:after="120"/>
        <w:ind w:left="426" w:firstLine="0"/>
        <w:rPr>
          <w:rFonts w:ascii="Times New Roman" w:hAnsi="Times New Roman"/>
          <w:sz w:val="24"/>
          <w:szCs w:val="24"/>
        </w:rPr>
      </w:pPr>
      <w:r w:rsidRPr="003761A4">
        <w:rPr>
          <w:rFonts w:ascii="Times New Roman" w:hAnsi="Times New Roman"/>
          <w:sz w:val="24"/>
          <w:szCs w:val="24"/>
        </w:rPr>
        <w:t>Все существующие внутренние структурные подразделения КО автоматически признаны дополнительными офисами, их не требуется переименовывать в обязательном порядке.</w:t>
      </w:r>
    </w:p>
    <w:p w14:paraId="315167F5" w14:textId="77777777" w:rsidR="0096737A" w:rsidRPr="003761A4" w:rsidRDefault="0096737A" w:rsidP="0096737A">
      <w:pPr>
        <w:pStyle w:val="a3"/>
        <w:numPr>
          <w:ilvl w:val="0"/>
          <w:numId w:val="32"/>
        </w:numPr>
        <w:spacing w:after="120"/>
        <w:ind w:left="426" w:hanging="426"/>
        <w:contextualSpacing w:val="0"/>
        <w:rPr>
          <w:rFonts w:ascii="Times New Roman" w:hAnsi="Times New Roman"/>
          <w:sz w:val="24"/>
          <w:szCs w:val="24"/>
          <w:lang w:eastAsia="ru-RU"/>
        </w:rPr>
      </w:pPr>
      <w:r w:rsidRPr="003761A4">
        <w:rPr>
          <w:rFonts w:ascii="Times New Roman" w:hAnsi="Times New Roman"/>
          <w:sz w:val="24"/>
          <w:szCs w:val="24"/>
          <w:lang w:eastAsia="ru-RU"/>
        </w:rPr>
        <w:t>Указание Банка России № 6241-У</w:t>
      </w:r>
      <w:r w:rsidRPr="003761A4">
        <w:rPr>
          <w:rFonts w:ascii="Times New Roman" w:hAnsi="Times New Roman"/>
          <w:sz w:val="24"/>
          <w:szCs w:val="24"/>
          <w:vertAlign w:val="superscript"/>
          <w:lang w:eastAsia="ru-RU"/>
        </w:rPr>
        <w:footnoteReference w:id="26"/>
      </w:r>
      <w:r w:rsidRPr="003761A4">
        <w:rPr>
          <w:rFonts w:ascii="Times New Roman" w:hAnsi="Times New Roman"/>
          <w:sz w:val="24"/>
          <w:szCs w:val="24"/>
          <w:lang w:eastAsia="ru-RU"/>
        </w:rPr>
        <w:t>, дополняющее перечень случаев, при которых в Банк России должен представляться бизнес-план, случаем представления документов для получения КО согласия Банка России на совершение сделки (сделок), направленной (направленных) на приобретение более 10 процентов акций (долей) другой КО и (или) на установление контроля в отношении акционеров (участников) другой КО, владеющих более чем 10 процентами ее акций (долей), в результате совершения которой (которых) будет установлен контроль в отношении другой КО.</w:t>
      </w:r>
    </w:p>
    <w:p w14:paraId="1B0DDCD3" w14:textId="77777777" w:rsidR="0096737A" w:rsidRPr="003761A4" w:rsidRDefault="0096737A" w:rsidP="0096737A">
      <w:pPr>
        <w:autoSpaceDE w:val="0"/>
        <w:autoSpaceDN w:val="0"/>
        <w:adjustRightInd w:val="0"/>
        <w:spacing w:after="120"/>
        <w:ind w:left="426" w:firstLine="0"/>
        <w:rPr>
          <w:rFonts w:ascii="Times New Roman" w:hAnsi="Times New Roman"/>
          <w:sz w:val="24"/>
          <w:szCs w:val="24"/>
        </w:rPr>
      </w:pPr>
      <w:r w:rsidRPr="003761A4">
        <w:rPr>
          <w:rFonts w:ascii="Times New Roman" w:hAnsi="Times New Roman"/>
          <w:sz w:val="24"/>
          <w:szCs w:val="24"/>
        </w:rPr>
        <w:t xml:space="preserve">Одновременно уточнен перечень случаев, при которых бизнес-план КО может не составляться и не представляться в Банк России, в частности, в случае реорганизации КО в соответствии с мерами по предупреждению банкротства. </w:t>
      </w:r>
    </w:p>
    <w:p w14:paraId="7DDD54AE" w14:textId="77777777" w:rsidR="0096737A" w:rsidRPr="003761A4" w:rsidRDefault="0096737A" w:rsidP="0096737A">
      <w:pPr>
        <w:autoSpaceDE w:val="0"/>
        <w:autoSpaceDN w:val="0"/>
        <w:adjustRightInd w:val="0"/>
        <w:spacing w:after="120"/>
        <w:ind w:left="426" w:firstLine="0"/>
        <w:rPr>
          <w:rFonts w:ascii="Times New Roman" w:hAnsi="Times New Roman"/>
          <w:sz w:val="24"/>
          <w:szCs w:val="24"/>
        </w:rPr>
      </w:pPr>
      <w:r w:rsidRPr="003761A4">
        <w:rPr>
          <w:rFonts w:ascii="Times New Roman" w:hAnsi="Times New Roman"/>
          <w:sz w:val="24"/>
          <w:szCs w:val="24"/>
        </w:rPr>
        <w:t>Данный нормативный акт вступил в силу 12.11.2022, за исключением положений, касающихся введения необходимости представления КО бизнес-плана в Банк России при направлении документов для получения согласия Банка России на совершение сделок, в результате которых будет прямо или косвенно, единолично либо в составе группы лиц установлен контроль в отношении другой КО, для которых установлен срок вступления с 01.10.2023.</w:t>
      </w:r>
    </w:p>
    <w:p w14:paraId="2F0682BC" w14:textId="77777777" w:rsidR="0096737A" w:rsidRPr="003761A4" w:rsidRDefault="0096737A" w:rsidP="0096737A">
      <w:pPr>
        <w:pStyle w:val="a3"/>
        <w:numPr>
          <w:ilvl w:val="0"/>
          <w:numId w:val="32"/>
        </w:numPr>
        <w:spacing w:after="120"/>
        <w:ind w:left="426" w:hanging="426"/>
        <w:contextualSpacing w:val="0"/>
        <w:rPr>
          <w:rFonts w:ascii="Times New Roman" w:hAnsi="Times New Roman"/>
          <w:sz w:val="24"/>
          <w:szCs w:val="24"/>
          <w:lang w:eastAsia="ru-RU"/>
        </w:rPr>
      </w:pPr>
      <w:r w:rsidRPr="003761A4">
        <w:rPr>
          <w:rFonts w:ascii="Times New Roman" w:hAnsi="Times New Roman"/>
          <w:sz w:val="24"/>
          <w:szCs w:val="24"/>
          <w:lang w:eastAsia="ru-RU"/>
        </w:rPr>
        <w:t>Указание Банка России № 6251-У</w:t>
      </w:r>
      <w:r w:rsidRPr="003761A4">
        <w:rPr>
          <w:rFonts w:ascii="Times New Roman" w:hAnsi="Times New Roman"/>
          <w:sz w:val="24"/>
          <w:szCs w:val="24"/>
          <w:vertAlign w:val="superscript"/>
          <w:lang w:eastAsia="ru-RU"/>
        </w:rPr>
        <w:footnoteReference w:id="27"/>
      </w:r>
      <w:r w:rsidRPr="003761A4">
        <w:rPr>
          <w:rFonts w:ascii="Times New Roman" w:hAnsi="Times New Roman"/>
          <w:sz w:val="24"/>
          <w:szCs w:val="24"/>
          <w:lang w:eastAsia="ru-RU"/>
        </w:rPr>
        <w:t>, которым внесены изменения в Инструкцию Банка России № 185-И</w:t>
      </w:r>
      <w:r w:rsidRPr="003761A4">
        <w:rPr>
          <w:rFonts w:ascii="Times New Roman" w:hAnsi="Times New Roman"/>
          <w:sz w:val="24"/>
          <w:szCs w:val="24"/>
          <w:vertAlign w:val="superscript"/>
          <w:lang w:eastAsia="ru-RU"/>
        </w:rPr>
        <w:footnoteReference w:id="28"/>
      </w:r>
      <w:r w:rsidRPr="003761A4">
        <w:rPr>
          <w:rFonts w:ascii="Times New Roman" w:hAnsi="Times New Roman"/>
          <w:sz w:val="24"/>
          <w:szCs w:val="24"/>
          <w:lang w:eastAsia="ru-RU"/>
        </w:rPr>
        <w:t>, определяющее представление бизнес-плана КО в Банк России в случае получения согласия Банка России на приобретение КО единолично или в составе группы лиц более 10 процентов акций (долей) другой КО (установления над ней контроля).</w:t>
      </w:r>
    </w:p>
    <w:p w14:paraId="27D232F3" w14:textId="77777777" w:rsidR="0096737A" w:rsidRPr="003761A4" w:rsidRDefault="0096737A" w:rsidP="0096737A">
      <w:pPr>
        <w:autoSpaceDE w:val="0"/>
        <w:autoSpaceDN w:val="0"/>
        <w:adjustRightInd w:val="0"/>
        <w:spacing w:after="120"/>
        <w:ind w:firstLine="0"/>
        <w:rPr>
          <w:rFonts w:ascii="Times New Roman" w:hAnsi="Times New Roman"/>
          <w:sz w:val="24"/>
          <w:szCs w:val="24"/>
        </w:rPr>
      </w:pPr>
      <w:r w:rsidRPr="003761A4">
        <w:rPr>
          <w:rFonts w:ascii="Times New Roman" w:hAnsi="Times New Roman"/>
          <w:sz w:val="24"/>
          <w:szCs w:val="24"/>
        </w:rPr>
        <w:t>Кроме того, уточнен перечень случаев, при которых не требуется получение согласия Банка России:</w:t>
      </w:r>
    </w:p>
    <w:p w14:paraId="45F96726" w14:textId="77777777" w:rsidR="0096737A" w:rsidRPr="003761A4" w:rsidRDefault="0096737A" w:rsidP="0096737A">
      <w:pPr>
        <w:autoSpaceDE w:val="0"/>
        <w:autoSpaceDN w:val="0"/>
        <w:adjustRightInd w:val="0"/>
        <w:spacing w:after="120"/>
        <w:ind w:firstLine="0"/>
        <w:rPr>
          <w:rFonts w:ascii="Times New Roman" w:hAnsi="Times New Roman"/>
          <w:sz w:val="24"/>
          <w:szCs w:val="24"/>
        </w:rPr>
      </w:pPr>
      <w:r w:rsidRPr="003761A4">
        <w:rPr>
          <w:rFonts w:ascii="Times New Roman" w:hAnsi="Times New Roman"/>
          <w:sz w:val="24"/>
          <w:szCs w:val="24"/>
        </w:rPr>
        <w:t>- в результате уменьшения уставного капитала финансовой организации и (или) входящих в ее структуру собственности юридических лиц не будет установлен контроль в отношении финансовой организации (действующей редакцией Инструкции Банка России № 185-И установлено, что согласие Банка России не требуется при любом уменьшении уставного капитала);</w:t>
      </w:r>
    </w:p>
    <w:p w14:paraId="0BF6F29A" w14:textId="77777777" w:rsidR="0096737A" w:rsidRPr="003761A4" w:rsidRDefault="0096737A" w:rsidP="0096737A">
      <w:pPr>
        <w:autoSpaceDE w:val="0"/>
        <w:autoSpaceDN w:val="0"/>
        <w:adjustRightInd w:val="0"/>
        <w:spacing w:after="120"/>
        <w:ind w:firstLine="0"/>
        <w:rPr>
          <w:rFonts w:ascii="Times New Roman" w:hAnsi="Times New Roman"/>
          <w:sz w:val="24"/>
          <w:szCs w:val="24"/>
        </w:rPr>
      </w:pPr>
      <w:r w:rsidRPr="003761A4">
        <w:rPr>
          <w:rFonts w:ascii="Times New Roman" w:hAnsi="Times New Roman"/>
          <w:sz w:val="24"/>
          <w:szCs w:val="24"/>
        </w:rPr>
        <w:t>- при приобретении менее 1 процента (с учетом ранее приобретенных) акций финансовой организации в составе группы лиц, владеющей более 10 процентами акций финансовой организации, если приобретение осуществляется при публичном размещении и (или) публичном обращении акций и в результате группой лиц не будет превышен верхний предел установленного диапазона.</w:t>
      </w:r>
    </w:p>
    <w:p w14:paraId="1BC5B099" w14:textId="77777777" w:rsidR="0096737A" w:rsidRPr="003761A4" w:rsidRDefault="0096737A" w:rsidP="0096737A">
      <w:pPr>
        <w:keepNext/>
        <w:spacing w:after="120"/>
        <w:ind w:firstLine="0"/>
        <w:rPr>
          <w:rFonts w:ascii="Times New Roman" w:hAnsi="Times New Roman"/>
          <w:b/>
          <w:sz w:val="24"/>
          <w:szCs w:val="24"/>
        </w:rPr>
      </w:pPr>
      <w:r w:rsidRPr="003761A4">
        <w:rPr>
          <w:rFonts w:ascii="Times New Roman" w:hAnsi="Times New Roman"/>
          <w:b/>
          <w:sz w:val="24"/>
          <w:szCs w:val="24"/>
        </w:rPr>
        <w:tab/>
        <w:t>В целях совершенствования процедуры прекращения деятельности финансовых организаций и порядка контроля за ее проведением в отчетном периоде зарегистрированы в Минюсте России и вступили в силу нормативные акты:</w:t>
      </w:r>
    </w:p>
    <w:p w14:paraId="0A14AF55" w14:textId="77777777" w:rsidR="0096737A" w:rsidRPr="003761A4" w:rsidRDefault="0096737A" w:rsidP="0096737A">
      <w:pPr>
        <w:pStyle w:val="a3"/>
        <w:numPr>
          <w:ilvl w:val="0"/>
          <w:numId w:val="32"/>
        </w:numPr>
        <w:spacing w:after="120"/>
        <w:ind w:left="567" w:hanging="567"/>
        <w:contextualSpacing w:val="0"/>
        <w:rPr>
          <w:rFonts w:ascii="Times New Roman" w:hAnsi="Times New Roman"/>
          <w:sz w:val="24"/>
          <w:szCs w:val="24"/>
          <w:lang w:eastAsia="ru-RU"/>
        </w:rPr>
      </w:pPr>
      <w:r w:rsidRPr="003761A4">
        <w:rPr>
          <w:rFonts w:ascii="Times New Roman" w:hAnsi="Times New Roman"/>
          <w:sz w:val="24"/>
          <w:szCs w:val="24"/>
          <w:lang w:eastAsia="ru-RU"/>
        </w:rPr>
        <w:t>Указание Банка России от 06.12.2021 № 6004-У</w:t>
      </w:r>
      <w:r w:rsidRPr="003761A4">
        <w:rPr>
          <w:rFonts w:ascii="Times New Roman" w:hAnsi="Times New Roman"/>
          <w:sz w:val="24"/>
          <w:szCs w:val="24"/>
          <w:vertAlign w:val="superscript"/>
          <w:lang w:eastAsia="ru-RU"/>
        </w:rPr>
        <w:footnoteReference w:id="29"/>
      </w:r>
      <w:r w:rsidRPr="003761A4">
        <w:rPr>
          <w:rFonts w:ascii="Times New Roman" w:hAnsi="Times New Roman"/>
          <w:sz w:val="24"/>
          <w:szCs w:val="24"/>
          <w:lang w:eastAsia="ru-RU"/>
        </w:rPr>
        <w:t>, которым устанавливаются правила оплаты услуг лиц, привлеченных временными администрациями отдельных финансовых организаций, а также конкурсным управляющим КО в отношении расходов, осуществляемых до утверждения сметы текущих расходов собранием кредиторов, комитетом кредиторов или арбитражным судом;</w:t>
      </w:r>
    </w:p>
    <w:p w14:paraId="569709DF" w14:textId="77777777" w:rsidR="0096737A" w:rsidRPr="003761A4" w:rsidRDefault="0096737A" w:rsidP="0096737A">
      <w:pPr>
        <w:pStyle w:val="a3"/>
        <w:numPr>
          <w:ilvl w:val="0"/>
          <w:numId w:val="32"/>
        </w:numPr>
        <w:spacing w:after="120"/>
        <w:ind w:left="567" w:hanging="567"/>
        <w:contextualSpacing w:val="0"/>
        <w:rPr>
          <w:rFonts w:ascii="Times New Roman" w:hAnsi="Times New Roman"/>
          <w:sz w:val="24"/>
          <w:szCs w:val="24"/>
          <w:lang w:eastAsia="ru-RU"/>
        </w:rPr>
      </w:pPr>
      <w:r w:rsidRPr="003761A4">
        <w:rPr>
          <w:rFonts w:ascii="Times New Roman" w:hAnsi="Times New Roman"/>
          <w:sz w:val="24"/>
          <w:szCs w:val="24"/>
          <w:lang w:eastAsia="ru-RU"/>
        </w:rPr>
        <w:t>Положение Банка России от 13.12.2021 № 785-П</w:t>
      </w:r>
      <w:r w:rsidRPr="003761A4">
        <w:rPr>
          <w:rFonts w:ascii="Times New Roman" w:hAnsi="Times New Roman"/>
          <w:sz w:val="24"/>
          <w:szCs w:val="24"/>
          <w:vertAlign w:val="superscript"/>
          <w:lang w:eastAsia="ru-RU"/>
        </w:rPr>
        <w:footnoteReference w:id="30"/>
      </w:r>
      <w:r w:rsidRPr="003761A4">
        <w:rPr>
          <w:rFonts w:ascii="Times New Roman" w:hAnsi="Times New Roman"/>
          <w:sz w:val="24"/>
          <w:szCs w:val="24"/>
          <w:lang w:eastAsia="ru-RU"/>
        </w:rPr>
        <w:t>, которое устанавливает в каких случаях Банк России проводит проверку деятельности временных администраций финансовых организаций, действующих после отзыва (аннулирования) лицензии, порядок проведения и оформления результатов такой проверки, а также случаи и порядок направления Банком России предписаний об устранении нарушений, которые выявлены в ходе проверок деятельности временных администраций;</w:t>
      </w:r>
    </w:p>
    <w:p w14:paraId="7B62A07A" w14:textId="77777777" w:rsidR="0096737A" w:rsidRPr="003761A4" w:rsidRDefault="0096737A" w:rsidP="0096737A">
      <w:pPr>
        <w:pStyle w:val="a3"/>
        <w:numPr>
          <w:ilvl w:val="0"/>
          <w:numId w:val="32"/>
        </w:numPr>
        <w:spacing w:after="120"/>
        <w:ind w:left="567" w:hanging="567"/>
        <w:contextualSpacing w:val="0"/>
        <w:rPr>
          <w:rFonts w:ascii="Times New Roman" w:hAnsi="Times New Roman"/>
          <w:sz w:val="24"/>
          <w:szCs w:val="24"/>
          <w:lang w:eastAsia="ru-RU"/>
        </w:rPr>
      </w:pPr>
      <w:r w:rsidRPr="003761A4">
        <w:rPr>
          <w:rFonts w:ascii="Times New Roman" w:hAnsi="Times New Roman"/>
          <w:sz w:val="24"/>
          <w:szCs w:val="24"/>
          <w:lang w:eastAsia="ru-RU"/>
        </w:rPr>
        <w:t>Указание Банка России от 03.12.2021 № 6003-У</w:t>
      </w:r>
      <w:r w:rsidRPr="003761A4">
        <w:rPr>
          <w:rFonts w:ascii="Times New Roman" w:hAnsi="Times New Roman"/>
          <w:sz w:val="24"/>
          <w:szCs w:val="24"/>
          <w:vertAlign w:val="superscript"/>
          <w:lang w:eastAsia="ru-RU"/>
        </w:rPr>
        <w:footnoteReference w:id="31"/>
      </w:r>
      <w:r w:rsidRPr="003761A4">
        <w:rPr>
          <w:rFonts w:ascii="Times New Roman" w:hAnsi="Times New Roman"/>
          <w:sz w:val="24"/>
          <w:szCs w:val="24"/>
          <w:lang w:eastAsia="ru-RU"/>
        </w:rPr>
        <w:t>, которое устанавливает особенности деятельности временной администрации по управлению КО, назначаемой в связи с отзывом у КО лицензии на осуществление банковских операций, функции которой возлагаются на государственную корпорацию «Агентство по страхованию вкладов», в частности, особенности формирования состава временной администрации, осуществления расходов временной администрации за счет авансирования, требования к порядку и срокам представления отчетов о работе временной администрации и публикации объявлений временной администрации.</w:t>
      </w:r>
    </w:p>
    <w:p w14:paraId="11B35AD0" w14:textId="77777777" w:rsidR="0096737A" w:rsidRPr="003761A4" w:rsidRDefault="0096737A" w:rsidP="0096737A">
      <w:pPr>
        <w:autoSpaceDE w:val="0"/>
        <w:autoSpaceDN w:val="0"/>
        <w:adjustRightInd w:val="0"/>
        <w:spacing w:after="120"/>
        <w:ind w:left="567" w:firstLine="0"/>
        <w:rPr>
          <w:rFonts w:ascii="Times New Roman" w:hAnsi="Times New Roman"/>
          <w:sz w:val="24"/>
          <w:szCs w:val="24"/>
        </w:rPr>
      </w:pPr>
      <w:r w:rsidRPr="003761A4">
        <w:rPr>
          <w:rFonts w:ascii="Times New Roman" w:hAnsi="Times New Roman"/>
          <w:sz w:val="24"/>
          <w:szCs w:val="24"/>
        </w:rPr>
        <w:t>Письмом Банка России от 27.04.2022 № 02-14-5/3633 в Минфин России для согласования и представления в Правительство Российской Федерации в целях последующего внесения в Государственную Думу направлен проект федерального закона «О внесении изменений в Федеральный закон «О несостоятельности (банкротстве)» и Федеральный закон «О банках и банковской деятельности», предусматривающий расширение полномочий временной администрации КО.</w:t>
      </w:r>
    </w:p>
    <w:p w14:paraId="28AFA605" w14:textId="77777777" w:rsidR="0096737A" w:rsidRPr="003761A4" w:rsidRDefault="0096737A" w:rsidP="0096737A">
      <w:pPr>
        <w:ind w:firstLine="0"/>
        <w:rPr>
          <w:rFonts w:ascii="Times New Roman" w:hAnsi="Times New Roman"/>
          <w:sz w:val="24"/>
          <w:szCs w:val="24"/>
        </w:rPr>
      </w:pPr>
    </w:p>
    <w:p w14:paraId="7580DA17" w14:textId="77777777" w:rsidR="0096737A" w:rsidRPr="003761A4" w:rsidRDefault="0096737A" w:rsidP="0096737A">
      <w:pPr>
        <w:keepNext/>
        <w:spacing w:after="120"/>
        <w:ind w:firstLine="0"/>
        <w:rPr>
          <w:rFonts w:ascii="Times New Roman" w:hAnsi="Times New Roman"/>
          <w:b/>
          <w:sz w:val="24"/>
          <w:szCs w:val="24"/>
        </w:rPr>
      </w:pPr>
      <w:r w:rsidRPr="003761A4">
        <w:rPr>
          <w:rFonts w:ascii="Times New Roman" w:hAnsi="Times New Roman"/>
          <w:b/>
          <w:sz w:val="24"/>
          <w:szCs w:val="24"/>
        </w:rPr>
        <w:t xml:space="preserve">Общая статистическая информация </w:t>
      </w:r>
    </w:p>
    <w:tbl>
      <w:tblPr>
        <w:tblW w:w="9464" w:type="dxa"/>
        <w:tblInd w:w="-108" w:type="dxa"/>
        <w:tblLayout w:type="fixed"/>
        <w:tblLook w:val="0000" w:firstRow="0" w:lastRow="0" w:firstColumn="0" w:lastColumn="0" w:noHBand="0" w:noVBand="0"/>
      </w:tblPr>
      <w:tblGrid>
        <w:gridCol w:w="9464"/>
      </w:tblGrid>
      <w:tr w:rsidR="003761A4" w:rsidRPr="003761A4" w14:paraId="49701BAF" w14:textId="77777777" w:rsidTr="00C83D7E">
        <w:trPr>
          <w:trHeight w:val="134"/>
        </w:trPr>
        <w:tc>
          <w:tcPr>
            <w:tcW w:w="9464" w:type="dxa"/>
          </w:tcPr>
          <w:p w14:paraId="6B3BA11C" w14:textId="77777777" w:rsidR="0096737A" w:rsidRPr="003761A4" w:rsidRDefault="0096737A" w:rsidP="00C83D7E">
            <w:pPr>
              <w:pStyle w:val="Default"/>
              <w:ind w:firstLine="0"/>
              <w:jc w:val="center"/>
              <w:rPr>
                <w:rFonts w:ascii="Times New Roman" w:hAnsi="Times New Roman" w:cs="Times New Roman"/>
                <w:color w:val="auto"/>
              </w:rPr>
            </w:pPr>
          </w:p>
          <w:tbl>
            <w:tblPr>
              <w:tblStyle w:val="afd"/>
              <w:tblW w:w="9366" w:type="dxa"/>
              <w:jc w:val="center"/>
              <w:tblLayout w:type="fixed"/>
              <w:tblLook w:val="04A0" w:firstRow="1" w:lastRow="0" w:firstColumn="1" w:lastColumn="0" w:noHBand="0" w:noVBand="1"/>
            </w:tblPr>
            <w:tblGrid>
              <w:gridCol w:w="4390"/>
              <w:gridCol w:w="1275"/>
              <w:gridCol w:w="1560"/>
              <w:gridCol w:w="1134"/>
              <w:gridCol w:w="1007"/>
            </w:tblGrid>
            <w:tr w:rsidR="003761A4" w:rsidRPr="003761A4" w14:paraId="3DF1DD62" w14:textId="77777777" w:rsidTr="00C83D7E">
              <w:trPr>
                <w:tblHeader/>
                <w:jc w:val="center"/>
              </w:trPr>
              <w:tc>
                <w:tcPr>
                  <w:tcW w:w="4390" w:type="dxa"/>
                  <w:tcBorders>
                    <w:top w:val="single" w:sz="4" w:space="0" w:color="auto"/>
                    <w:left w:val="single" w:sz="4" w:space="0" w:color="auto"/>
                    <w:bottom w:val="single" w:sz="4" w:space="0" w:color="auto"/>
                    <w:right w:val="single" w:sz="4" w:space="0" w:color="auto"/>
                  </w:tcBorders>
                </w:tcPr>
                <w:p w14:paraId="69A099A5"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Наименование</w:t>
                  </w:r>
                </w:p>
              </w:tc>
              <w:tc>
                <w:tcPr>
                  <w:tcW w:w="1275" w:type="dxa"/>
                  <w:tcBorders>
                    <w:top w:val="single" w:sz="4" w:space="0" w:color="auto"/>
                    <w:left w:val="single" w:sz="4" w:space="0" w:color="auto"/>
                    <w:bottom w:val="single" w:sz="4" w:space="0" w:color="auto"/>
                    <w:right w:val="single" w:sz="4" w:space="0" w:color="auto"/>
                  </w:tcBorders>
                </w:tcPr>
                <w:p w14:paraId="51332D20" w14:textId="77777777" w:rsidR="0096737A" w:rsidRPr="003761A4" w:rsidRDefault="0096737A" w:rsidP="00C83D7E">
                  <w:pPr>
                    <w:pStyle w:val="Default"/>
                    <w:jc w:val="center"/>
                    <w:rPr>
                      <w:rFonts w:ascii="Times New Roman" w:hAnsi="Times New Roman" w:cs="Times New Roman"/>
                      <w:color w:val="auto"/>
                      <w:sz w:val="22"/>
                      <w:lang w:val="en-US"/>
                    </w:rPr>
                  </w:pPr>
                  <w:r w:rsidRPr="003761A4">
                    <w:rPr>
                      <w:rFonts w:ascii="Times New Roman" w:hAnsi="Times New Roman" w:cs="Times New Roman"/>
                      <w:color w:val="auto"/>
                      <w:sz w:val="22"/>
                    </w:rPr>
                    <w:t>По состоянию на 01.01.202</w:t>
                  </w:r>
                  <w:r w:rsidRPr="003761A4">
                    <w:rPr>
                      <w:rFonts w:ascii="Times New Roman" w:hAnsi="Times New Roman" w:cs="Times New Roman"/>
                      <w:color w:val="auto"/>
                      <w:sz w:val="22"/>
                      <w:lang w:val="en-US"/>
                    </w:rPr>
                    <w:t>2</w:t>
                  </w:r>
                </w:p>
              </w:tc>
              <w:tc>
                <w:tcPr>
                  <w:tcW w:w="1560" w:type="dxa"/>
                  <w:tcBorders>
                    <w:top w:val="single" w:sz="4" w:space="0" w:color="auto"/>
                    <w:left w:val="single" w:sz="4" w:space="0" w:color="auto"/>
                    <w:bottom w:val="single" w:sz="4" w:space="0" w:color="auto"/>
                    <w:right w:val="single" w:sz="4" w:space="0" w:color="auto"/>
                  </w:tcBorders>
                </w:tcPr>
                <w:p w14:paraId="33570AD4" w14:textId="77777777" w:rsidR="0096737A" w:rsidRPr="003761A4" w:rsidRDefault="0096737A" w:rsidP="00C83D7E">
                  <w:pPr>
                    <w:pStyle w:val="Default"/>
                    <w:jc w:val="center"/>
                    <w:rPr>
                      <w:rFonts w:ascii="Times New Roman" w:hAnsi="Times New Roman" w:cs="Times New Roman"/>
                      <w:color w:val="auto"/>
                      <w:sz w:val="22"/>
                      <w:lang w:val="en-US"/>
                    </w:rPr>
                  </w:pPr>
                  <w:r w:rsidRPr="003761A4">
                    <w:rPr>
                      <w:rFonts w:ascii="Times New Roman" w:hAnsi="Times New Roman" w:cs="Times New Roman"/>
                      <w:color w:val="auto"/>
                      <w:sz w:val="22"/>
                    </w:rPr>
                    <w:t>По состоянию на 01.01.202</w:t>
                  </w:r>
                  <w:r w:rsidRPr="003761A4">
                    <w:rPr>
                      <w:rFonts w:ascii="Times New Roman" w:hAnsi="Times New Roman" w:cs="Times New Roman"/>
                      <w:color w:val="auto"/>
                      <w:sz w:val="22"/>
                      <w:lang w:val="en-US"/>
                    </w:rPr>
                    <w:t>3</w:t>
                  </w:r>
                </w:p>
              </w:tc>
              <w:tc>
                <w:tcPr>
                  <w:tcW w:w="1134" w:type="dxa"/>
                  <w:tcBorders>
                    <w:top w:val="single" w:sz="4" w:space="0" w:color="auto"/>
                    <w:left w:val="single" w:sz="4" w:space="0" w:color="auto"/>
                    <w:bottom w:val="single" w:sz="4" w:space="0" w:color="auto"/>
                    <w:right w:val="single" w:sz="4" w:space="0" w:color="auto"/>
                  </w:tcBorders>
                </w:tcPr>
                <w:p w14:paraId="2D473791"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ед.</w:t>
                  </w:r>
                </w:p>
              </w:tc>
              <w:tc>
                <w:tcPr>
                  <w:tcW w:w="1007" w:type="dxa"/>
                  <w:tcBorders>
                    <w:top w:val="single" w:sz="4" w:space="0" w:color="auto"/>
                    <w:left w:val="single" w:sz="4" w:space="0" w:color="auto"/>
                    <w:bottom w:val="single" w:sz="4" w:space="0" w:color="auto"/>
                    <w:right w:val="single" w:sz="4" w:space="0" w:color="auto"/>
                  </w:tcBorders>
                </w:tcPr>
                <w:p w14:paraId="202B7345"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w:t>
                  </w:r>
                </w:p>
              </w:tc>
            </w:tr>
            <w:tr w:rsidR="003761A4" w:rsidRPr="003761A4" w14:paraId="092803A9"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02C6BEBD"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color w:val="auto"/>
                      <w:sz w:val="22"/>
                    </w:rPr>
                    <w:t>Количество действующих кредитных организаций (единиц)</w:t>
                  </w:r>
                </w:p>
              </w:tc>
              <w:tc>
                <w:tcPr>
                  <w:tcW w:w="1275" w:type="dxa"/>
                  <w:tcBorders>
                    <w:top w:val="single" w:sz="4" w:space="0" w:color="auto"/>
                    <w:left w:val="single" w:sz="4" w:space="0" w:color="auto"/>
                    <w:bottom w:val="single" w:sz="4" w:space="0" w:color="auto"/>
                    <w:right w:val="single" w:sz="4" w:space="0" w:color="auto"/>
                  </w:tcBorders>
                </w:tcPr>
                <w:p w14:paraId="1D900CBD"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370</w:t>
                  </w:r>
                </w:p>
              </w:tc>
              <w:tc>
                <w:tcPr>
                  <w:tcW w:w="1560" w:type="dxa"/>
                  <w:tcBorders>
                    <w:top w:val="single" w:sz="4" w:space="0" w:color="auto"/>
                    <w:left w:val="single" w:sz="4" w:space="0" w:color="auto"/>
                    <w:bottom w:val="single" w:sz="4" w:space="0" w:color="auto"/>
                    <w:right w:val="single" w:sz="4" w:space="0" w:color="auto"/>
                  </w:tcBorders>
                </w:tcPr>
                <w:p w14:paraId="3A456B5B"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361</w:t>
                  </w:r>
                </w:p>
              </w:tc>
              <w:tc>
                <w:tcPr>
                  <w:tcW w:w="1134" w:type="dxa"/>
                  <w:tcBorders>
                    <w:top w:val="single" w:sz="4" w:space="0" w:color="auto"/>
                    <w:left w:val="single" w:sz="4" w:space="0" w:color="auto"/>
                    <w:bottom w:val="single" w:sz="4" w:space="0" w:color="auto"/>
                    <w:right w:val="single" w:sz="4" w:space="0" w:color="auto"/>
                  </w:tcBorders>
                </w:tcPr>
                <w:p w14:paraId="1434517C"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-9</w:t>
                  </w:r>
                </w:p>
              </w:tc>
              <w:tc>
                <w:tcPr>
                  <w:tcW w:w="1007" w:type="dxa"/>
                  <w:tcBorders>
                    <w:top w:val="single" w:sz="4" w:space="0" w:color="auto"/>
                    <w:left w:val="single" w:sz="4" w:space="0" w:color="auto"/>
                    <w:bottom w:val="single" w:sz="4" w:space="0" w:color="auto"/>
                    <w:right w:val="single" w:sz="4" w:space="0" w:color="auto"/>
                  </w:tcBorders>
                </w:tcPr>
                <w:p w14:paraId="3626CA34"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-2,43</w:t>
                  </w:r>
                </w:p>
              </w:tc>
            </w:tr>
            <w:tr w:rsidR="003761A4" w:rsidRPr="003761A4" w14:paraId="6307DA2C"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5F212AE8"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i/>
                      <w:iCs/>
                      <w:color w:val="auto"/>
                      <w:sz w:val="22"/>
                    </w:rPr>
                    <w:t>в том числе:</w:t>
                  </w:r>
                </w:p>
              </w:tc>
              <w:tc>
                <w:tcPr>
                  <w:tcW w:w="1275" w:type="dxa"/>
                  <w:tcBorders>
                    <w:top w:val="single" w:sz="4" w:space="0" w:color="auto"/>
                    <w:left w:val="single" w:sz="4" w:space="0" w:color="auto"/>
                    <w:bottom w:val="single" w:sz="4" w:space="0" w:color="auto"/>
                    <w:right w:val="single" w:sz="4" w:space="0" w:color="auto"/>
                  </w:tcBorders>
                </w:tcPr>
                <w:p w14:paraId="1677EF2F" w14:textId="77777777" w:rsidR="0096737A" w:rsidRPr="003761A4" w:rsidRDefault="0096737A" w:rsidP="00C83D7E">
                  <w:pPr>
                    <w:pStyle w:val="Default"/>
                    <w:jc w:val="center"/>
                    <w:rPr>
                      <w:rFonts w:ascii="Times New Roman" w:hAnsi="Times New Roman" w:cs="Times New Roman"/>
                      <w:color w:val="auto"/>
                      <w:sz w:val="22"/>
                    </w:rPr>
                  </w:pPr>
                </w:p>
              </w:tc>
              <w:tc>
                <w:tcPr>
                  <w:tcW w:w="1560" w:type="dxa"/>
                  <w:tcBorders>
                    <w:top w:val="single" w:sz="4" w:space="0" w:color="auto"/>
                    <w:left w:val="single" w:sz="4" w:space="0" w:color="auto"/>
                    <w:bottom w:val="single" w:sz="4" w:space="0" w:color="auto"/>
                    <w:right w:val="single" w:sz="4" w:space="0" w:color="auto"/>
                  </w:tcBorders>
                </w:tcPr>
                <w:p w14:paraId="121F9CF1" w14:textId="77777777" w:rsidR="0096737A" w:rsidRPr="003761A4" w:rsidRDefault="0096737A" w:rsidP="00C83D7E">
                  <w:pPr>
                    <w:pStyle w:val="Default"/>
                    <w:jc w:val="center"/>
                    <w:rPr>
                      <w:rFonts w:ascii="Times New Roman" w:hAnsi="Times New Roman" w:cs="Times New Roman"/>
                      <w:color w:val="auto"/>
                      <w:sz w:val="22"/>
                    </w:rPr>
                  </w:pPr>
                </w:p>
              </w:tc>
              <w:tc>
                <w:tcPr>
                  <w:tcW w:w="1134" w:type="dxa"/>
                  <w:tcBorders>
                    <w:top w:val="single" w:sz="4" w:space="0" w:color="auto"/>
                    <w:left w:val="single" w:sz="4" w:space="0" w:color="auto"/>
                    <w:bottom w:val="single" w:sz="4" w:space="0" w:color="auto"/>
                    <w:right w:val="single" w:sz="4" w:space="0" w:color="auto"/>
                  </w:tcBorders>
                </w:tcPr>
                <w:p w14:paraId="61D48C3C" w14:textId="77777777" w:rsidR="0096737A" w:rsidRPr="003761A4" w:rsidRDefault="0096737A" w:rsidP="00C83D7E">
                  <w:pPr>
                    <w:pStyle w:val="Default"/>
                    <w:jc w:val="center"/>
                    <w:rPr>
                      <w:rFonts w:ascii="Times New Roman" w:hAnsi="Times New Roman" w:cs="Times New Roman"/>
                      <w:color w:val="auto"/>
                      <w:sz w:val="22"/>
                    </w:rPr>
                  </w:pPr>
                </w:p>
              </w:tc>
              <w:tc>
                <w:tcPr>
                  <w:tcW w:w="1007" w:type="dxa"/>
                  <w:tcBorders>
                    <w:top w:val="single" w:sz="4" w:space="0" w:color="auto"/>
                    <w:left w:val="single" w:sz="4" w:space="0" w:color="auto"/>
                    <w:bottom w:val="single" w:sz="4" w:space="0" w:color="auto"/>
                    <w:right w:val="single" w:sz="4" w:space="0" w:color="auto"/>
                  </w:tcBorders>
                </w:tcPr>
                <w:p w14:paraId="3214CCF6" w14:textId="77777777" w:rsidR="0096737A" w:rsidRPr="003761A4" w:rsidRDefault="0096737A" w:rsidP="00C83D7E">
                  <w:pPr>
                    <w:pStyle w:val="Default"/>
                    <w:jc w:val="center"/>
                    <w:rPr>
                      <w:rFonts w:ascii="Times New Roman" w:hAnsi="Times New Roman" w:cs="Times New Roman"/>
                      <w:color w:val="auto"/>
                      <w:sz w:val="22"/>
                    </w:rPr>
                  </w:pPr>
                </w:p>
              </w:tc>
            </w:tr>
            <w:tr w:rsidR="003761A4" w:rsidRPr="003761A4" w14:paraId="604486C9"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3F49BDE6"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color w:val="auto"/>
                      <w:sz w:val="22"/>
                    </w:rPr>
                    <w:t xml:space="preserve"> банки</w:t>
                  </w:r>
                </w:p>
              </w:tc>
              <w:tc>
                <w:tcPr>
                  <w:tcW w:w="1275" w:type="dxa"/>
                  <w:tcBorders>
                    <w:top w:val="single" w:sz="4" w:space="0" w:color="auto"/>
                    <w:left w:val="single" w:sz="4" w:space="0" w:color="auto"/>
                    <w:bottom w:val="single" w:sz="4" w:space="0" w:color="auto"/>
                    <w:right w:val="single" w:sz="4" w:space="0" w:color="auto"/>
                  </w:tcBorders>
                </w:tcPr>
                <w:p w14:paraId="0B06FA53"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335</w:t>
                  </w:r>
                </w:p>
              </w:tc>
              <w:tc>
                <w:tcPr>
                  <w:tcW w:w="1560" w:type="dxa"/>
                  <w:tcBorders>
                    <w:top w:val="single" w:sz="4" w:space="0" w:color="auto"/>
                    <w:left w:val="single" w:sz="4" w:space="0" w:color="auto"/>
                    <w:bottom w:val="single" w:sz="4" w:space="0" w:color="auto"/>
                    <w:right w:val="single" w:sz="4" w:space="0" w:color="auto"/>
                  </w:tcBorders>
                </w:tcPr>
                <w:p w14:paraId="25BDE67F"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326</w:t>
                  </w:r>
                </w:p>
              </w:tc>
              <w:tc>
                <w:tcPr>
                  <w:tcW w:w="1134" w:type="dxa"/>
                  <w:tcBorders>
                    <w:top w:val="single" w:sz="4" w:space="0" w:color="auto"/>
                    <w:left w:val="single" w:sz="4" w:space="0" w:color="auto"/>
                    <w:bottom w:val="single" w:sz="4" w:space="0" w:color="auto"/>
                    <w:right w:val="single" w:sz="4" w:space="0" w:color="auto"/>
                  </w:tcBorders>
                </w:tcPr>
                <w:p w14:paraId="01404D4A"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-9</w:t>
                  </w:r>
                </w:p>
              </w:tc>
              <w:tc>
                <w:tcPr>
                  <w:tcW w:w="1007" w:type="dxa"/>
                  <w:tcBorders>
                    <w:top w:val="single" w:sz="4" w:space="0" w:color="auto"/>
                    <w:left w:val="single" w:sz="4" w:space="0" w:color="auto"/>
                    <w:bottom w:val="single" w:sz="4" w:space="0" w:color="auto"/>
                    <w:right w:val="single" w:sz="4" w:space="0" w:color="auto"/>
                  </w:tcBorders>
                </w:tcPr>
                <w:p w14:paraId="1AE1B75F"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- 2,69</w:t>
                  </w:r>
                </w:p>
              </w:tc>
            </w:tr>
            <w:tr w:rsidR="003761A4" w:rsidRPr="003761A4" w14:paraId="26940E15"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3FF3B91B"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i/>
                      <w:iCs/>
                      <w:color w:val="auto"/>
                      <w:sz w:val="22"/>
                    </w:rPr>
                    <w:t>из них</w:t>
                  </w:r>
                </w:p>
              </w:tc>
              <w:tc>
                <w:tcPr>
                  <w:tcW w:w="1275" w:type="dxa"/>
                  <w:tcBorders>
                    <w:top w:val="single" w:sz="4" w:space="0" w:color="auto"/>
                    <w:left w:val="single" w:sz="4" w:space="0" w:color="auto"/>
                    <w:bottom w:val="single" w:sz="4" w:space="0" w:color="auto"/>
                    <w:right w:val="single" w:sz="4" w:space="0" w:color="auto"/>
                  </w:tcBorders>
                </w:tcPr>
                <w:p w14:paraId="04110825" w14:textId="77777777" w:rsidR="0096737A" w:rsidRPr="003761A4" w:rsidRDefault="0096737A" w:rsidP="00C83D7E">
                  <w:pPr>
                    <w:pStyle w:val="Default"/>
                    <w:jc w:val="center"/>
                    <w:rPr>
                      <w:rFonts w:ascii="Times New Roman" w:hAnsi="Times New Roman" w:cs="Times New Roman"/>
                      <w:color w:val="auto"/>
                      <w:sz w:val="22"/>
                    </w:rPr>
                  </w:pPr>
                </w:p>
              </w:tc>
              <w:tc>
                <w:tcPr>
                  <w:tcW w:w="1560" w:type="dxa"/>
                  <w:tcBorders>
                    <w:top w:val="single" w:sz="4" w:space="0" w:color="auto"/>
                    <w:left w:val="single" w:sz="4" w:space="0" w:color="auto"/>
                    <w:bottom w:val="single" w:sz="4" w:space="0" w:color="auto"/>
                    <w:right w:val="single" w:sz="4" w:space="0" w:color="auto"/>
                  </w:tcBorders>
                </w:tcPr>
                <w:p w14:paraId="1C7223EC" w14:textId="77777777" w:rsidR="0096737A" w:rsidRPr="003761A4" w:rsidRDefault="0096737A" w:rsidP="00C83D7E">
                  <w:pPr>
                    <w:pStyle w:val="Default"/>
                    <w:jc w:val="center"/>
                    <w:rPr>
                      <w:rFonts w:ascii="Times New Roman" w:hAnsi="Times New Roman" w:cs="Times New Roman"/>
                      <w:color w:val="auto"/>
                      <w:sz w:val="22"/>
                    </w:rPr>
                  </w:pPr>
                </w:p>
              </w:tc>
              <w:tc>
                <w:tcPr>
                  <w:tcW w:w="1134" w:type="dxa"/>
                  <w:tcBorders>
                    <w:top w:val="single" w:sz="4" w:space="0" w:color="auto"/>
                    <w:left w:val="single" w:sz="4" w:space="0" w:color="auto"/>
                    <w:bottom w:val="single" w:sz="4" w:space="0" w:color="auto"/>
                    <w:right w:val="single" w:sz="4" w:space="0" w:color="auto"/>
                  </w:tcBorders>
                </w:tcPr>
                <w:p w14:paraId="61D8DC37" w14:textId="77777777" w:rsidR="0096737A" w:rsidRPr="003761A4" w:rsidRDefault="0096737A" w:rsidP="00C83D7E">
                  <w:pPr>
                    <w:pStyle w:val="Default"/>
                    <w:jc w:val="center"/>
                    <w:rPr>
                      <w:rFonts w:ascii="Times New Roman" w:hAnsi="Times New Roman" w:cs="Times New Roman"/>
                      <w:color w:val="auto"/>
                      <w:sz w:val="22"/>
                    </w:rPr>
                  </w:pPr>
                </w:p>
              </w:tc>
              <w:tc>
                <w:tcPr>
                  <w:tcW w:w="1007" w:type="dxa"/>
                  <w:tcBorders>
                    <w:top w:val="single" w:sz="4" w:space="0" w:color="auto"/>
                    <w:left w:val="single" w:sz="4" w:space="0" w:color="auto"/>
                    <w:bottom w:val="single" w:sz="4" w:space="0" w:color="auto"/>
                    <w:right w:val="single" w:sz="4" w:space="0" w:color="auto"/>
                  </w:tcBorders>
                </w:tcPr>
                <w:p w14:paraId="57850EC2" w14:textId="77777777" w:rsidR="0096737A" w:rsidRPr="003761A4" w:rsidRDefault="0096737A" w:rsidP="00C83D7E">
                  <w:pPr>
                    <w:pStyle w:val="Default"/>
                    <w:jc w:val="center"/>
                    <w:rPr>
                      <w:rFonts w:ascii="Times New Roman" w:hAnsi="Times New Roman" w:cs="Times New Roman"/>
                      <w:color w:val="auto"/>
                      <w:sz w:val="22"/>
                    </w:rPr>
                  </w:pPr>
                </w:p>
              </w:tc>
            </w:tr>
            <w:tr w:rsidR="003761A4" w:rsidRPr="003761A4" w14:paraId="6DF7EA67"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18ECFACC"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color w:val="auto"/>
                      <w:sz w:val="22"/>
                    </w:rPr>
                    <w:t xml:space="preserve">   с универсальной лицензией</w:t>
                  </w:r>
                </w:p>
              </w:tc>
              <w:tc>
                <w:tcPr>
                  <w:tcW w:w="1275" w:type="dxa"/>
                  <w:tcBorders>
                    <w:top w:val="single" w:sz="4" w:space="0" w:color="auto"/>
                    <w:left w:val="single" w:sz="4" w:space="0" w:color="auto"/>
                    <w:bottom w:val="single" w:sz="4" w:space="0" w:color="auto"/>
                    <w:right w:val="single" w:sz="4" w:space="0" w:color="auto"/>
                  </w:tcBorders>
                </w:tcPr>
                <w:p w14:paraId="565E1C4E"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232</w:t>
                  </w:r>
                </w:p>
              </w:tc>
              <w:tc>
                <w:tcPr>
                  <w:tcW w:w="1560" w:type="dxa"/>
                  <w:tcBorders>
                    <w:top w:val="single" w:sz="4" w:space="0" w:color="auto"/>
                    <w:left w:val="single" w:sz="4" w:space="0" w:color="auto"/>
                    <w:bottom w:val="single" w:sz="4" w:space="0" w:color="auto"/>
                    <w:right w:val="single" w:sz="4" w:space="0" w:color="auto"/>
                  </w:tcBorders>
                </w:tcPr>
                <w:p w14:paraId="7370BF04"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225</w:t>
                  </w:r>
                </w:p>
              </w:tc>
              <w:tc>
                <w:tcPr>
                  <w:tcW w:w="1134" w:type="dxa"/>
                  <w:tcBorders>
                    <w:top w:val="single" w:sz="4" w:space="0" w:color="auto"/>
                    <w:left w:val="single" w:sz="4" w:space="0" w:color="auto"/>
                    <w:bottom w:val="single" w:sz="4" w:space="0" w:color="auto"/>
                    <w:right w:val="single" w:sz="4" w:space="0" w:color="auto"/>
                  </w:tcBorders>
                </w:tcPr>
                <w:p w14:paraId="475CDEC2"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-7</w:t>
                  </w:r>
                </w:p>
              </w:tc>
              <w:tc>
                <w:tcPr>
                  <w:tcW w:w="1007" w:type="dxa"/>
                  <w:tcBorders>
                    <w:top w:val="single" w:sz="4" w:space="0" w:color="auto"/>
                    <w:left w:val="single" w:sz="4" w:space="0" w:color="auto"/>
                    <w:bottom w:val="single" w:sz="4" w:space="0" w:color="auto"/>
                    <w:right w:val="single" w:sz="4" w:space="0" w:color="auto"/>
                  </w:tcBorders>
                </w:tcPr>
                <w:p w14:paraId="50DA9E4E"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-3,02</w:t>
                  </w:r>
                </w:p>
              </w:tc>
            </w:tr>
            <w:tr w:rsidR="003761A4" w:rsidRPr="003761A4" w14:paraId="00F21845"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5AE869FA"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color w:val="auto"/>
                      <w:sz w:val="22"/>
                    </w:rPr>
                    <w:t xml:space="preserve">    с базовой лицензией</w:t>
                  </w:r>
                </w:p>
              </w:tc>
              <w:tc>
                <w:tcPr>
                  <w:tcW w:w="1275" w:type="dxa"/>
                  <w:tcBorders>
                    <w:top w:val="single" w:sz="4" w:space="0" w:color="auto"/>
                    <w:left w:val="single" w:sz="4" w:space="0" w:color="auto"/>
                    <w:bottom w:val="single" w:sz="4" w:space="0" w:color="auto"/>
                    <w:right w:val="single" w:sz="4" w:space="0" w:color="auto"/>
                  </w:tcBorders>
                </w:tcPr>
                <w:p w14:paraId="21367FB4"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103</w:t>
                  </w:r>
                </w:p>
              </w:tc>
              <w:tc>
                <w:tcPr>
                  <w:tcW w:w="1560" w:type="dxa"/>
                  <w:tcBorders>
                    <w:top w:val="single" w:sz="4" w:space="0" w:color="auto"/>
                    <w:left w:val="single" w:sz="4" w:space="0" w:color="auto"/>
                    <w:bottom w:val="single" w:sz="4" w:space="0" w:color="auto"/>
                    <w:right w:val="single" w:sz="4" w:space="0" w:color="auto"/>
                  </w:tcBorders>
                </w:tcPr>
                <w:p w14:paraId="42CDD4BD"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101</w:t>
                  </w:r>
                </w:p>
              </w:tc>
              <w:tc>
                <w:tcPr>
                  <w:tcW w:w="1134" w:type="dxa"/>
                  <w:tcBorders>
                    <w:top w:val="single" w:sz="4" w:space="0" w:color="auto"/>
                    <w:left w:val="single" w:sz="4" w:space="0" w:color="auto"/>
                    <w:bottom w:val="single" w:sz="4" w:space="0" w:color="auto"/>
                    <w:right w:val="single" w:sz="4" w:space="0" w:color="auto"/>
                  </w:tcBorders>
                </w:tcPr>
                <w:p w14:paraId="6D6720E9"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-2</w:t>
                  </w:r>
                </w:p>
              </w:tc>
              <w:tc>
                <w:tcPr>
                  <w:tcW w:w="1007" w:type="dxa"/>
                  <w:tcBorders>
                    <w:top w:val="single" w:sz="4" w:space="0" w:color="auto"/>
                    <w:left w:val="single" w:sz="4" w:space="0" w:color="auto"/>
                    <w:bottom w:val="single" w:sz="4" w:space="0" w:color="auto"/>
                    <w:right w:val="single" w:sz="4" w:space="0" w:color="auto"/>
                  </w:tcBorders>
                </w:tcPr>
                <w:p w14:paraId="28668B13"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-1,94</w:t>
                  </w:r>
                </w:p>
              </w:tc>
            </w:tr>
            <w:tr w:rsidR="003761A4" w:rsidRPr="003761A4" w14:paraId="4CA6FE62"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6299C3AA"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color w:val="auto"/>
                      <w:sz w:val="22"/>
                    </w:rPr>
                    <w:t>небанковские кредитные организации</w:t>
                  </w:r>
                </w:p>
              </w:tc>
              <w:tc>
                <w:tcPr>
                  <w:tcW w:w="1275" w:type="dxa"/>
                  <w:tcBorders>
                    <w:top w:val="single" w:sz="4" w:space="0" w:color="auto"/>
                    <w:left w:val="single" w:sz="4" w:space="0" w:color="auto"/>
                    <w:bottom w:val="single" w:sz="4" w:space="0" w:color="auto"/>
                    <w:right w:val="single" w:sz="4" w:space="0" w:color="auto"/>
                  </w:tcBorders>
                </w:tcPr>
                <w:p w14:paraId="3FF43E3B"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35</w:t>
                  </w:r>
                </w:p>
              </w:tc>
              <w:tc>
                <w:tcPr>
                  <w:tcW w:w="1560" w:type="dxa"/>
                  <w:tcBorders>
                    <w:top w:val="single" w:sz="4" w:space="0" w:color="auto"/>
                    <w:left w:val="single" w:sz="4" w:space="0" w:color="auto"/>
                    <w:bottom w:val="single" w:sz="4" w:space="0" w:color="auto"/>
                    <w:right w:val="single" w:sz="4" w:space="0" w:color="auto"/>
                  </w:tcBorders>
                </w:tcPr>
                <w:p w14:paraId="18042AD6"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35</w:t>
                  </w:r>
                </w:p>
              </w:tc>
              <w:tc>
                <w:tcPr>
                  <w:tcW w:w="1134" w:type="dxa"/>
                  <w:tcBorders>
                    <w:top w:val="single" w:sz="4" w:space="0" w:color="auto"/>
                    <w:left w:val="single" w:sz="4" w:space="0" w:color="auto"/>
                    <w:bottom w:val="single" w:sz="4" w:space="0" w:color="auto"/>
                    <w:right w:val="single" w:sz="4" w:space="0" w:color="auto"/>
                  </w:tcBorders>
                </w:tcPr>
                <w:p w14:paraId="72EC1F91" w14:textId="77777777" w:rsidR="0096737A" w:rsidRPr="003761A4" w:rsidRDefault="0096737A" w:rsidP="00C83D7E">
                  <w:pPr>
                    <w:pStyle w:val="Default"/>
                    <w:jc w:val="center"/>
                    <w:rPr>
                      <w:rFonts w:ascii="Times New Roman" w:hAnsi="Times New Roman" w:cs="Times New Roman"/>
                      <w:color w:val="auto"/>
                      <w:sz w:val="22"/>
                    </w:rPr>
                  </w:pPr>
                </w:p>
              </w:tc>
              <w:tc>
                <w:tcPr>
                  <w:tcW w:w="1007" w:type="dxa"/>
                  <w:tcBorders>
                    <w:top w:val="single" w:sz="4" w:space="0" w:color="auto"/>
                    <w:left w:val="single" w:sz="4" w:space="0" w:color="auto"/>
                    <w:bottom w:val="single" w:sz="4" w:space="0" w:color="auto"/>
                    <w:right w:val="single" w:sz="4" w:space="0" w:color="auto"/>
                  </w:tcBorders>
                </w:tcPr>
                <w:p w14:paraId="6783F6FC" w14:textId="77777777" w:rsidR="0096737A" w:rsidRPr="003761A4" w:rsidRDefault="0096737A" w:rsidP="00C83D7E">
                  <w:pPr>
                    <w:pStyle w:val="Default"/>
                    <w:jc w:val="center"/>
                    <w:rPr>
                      <w:rFonts w:ascii="Times New Roman" w:hAnsi="Times New Roman" w:cs="Times New Roman"/>
                      <w:color w:val="auto"/>
                      <w:sz w:val="22"/>
                    </w:rPr>
                  </w:pPr>
                </w:p>
              </w:tc>
            </w:tr>
            <w:tr w:rsidR="003761A4" w:rsidRPr="003761A4" w14:paraId="0E0F0B18"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3D79D177"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color w:val="auto"/>
                      <w:sz w:val="22"/>
                    </w:rPr>
                    <w:t>Кредитные организации, имеющие лицензии, предоставляющие право на:</w:t>
                  </w:r>
                </w:p>
              </w:tc>
              <w:tc>
                <w:tcPr>
                  <w:tcW w:w="1275" w:type="dxa"/>
                  <w:tcBorders>
                    <w:top w:val="single" w:sz="4" w:space="0" w:color="auto"/>
                    <w:left w:val="single" w:sz="4" w:space="0" w:color="auto"/>
                    <w:bottom w:val="single" w:sz="4" w:space="0" w:color="auto"/>
                    <w:right w:val="single" w:sz="4" w:space="0" w:color="auto"/>
                  </w:tcBorders>
                </w:tcPr>
                <w:p w14:paraId="0565903C" w14:textId="77777777" w:rsidR="0096737A" w:rsidRPr="003761A4" w:rsidRDefault="0096737A" w:rsidP="00C83D7E">
                  <w:pPr>
                    <w:pStyle w:val="Default"/>
                    <w:jc w:val="center"/>
                    <w:rPr>
                      <w:rFonts w:ascii="Times New Roman" w:hAnsi="Times New Roman" w:cs="Times New Roman"/>
                      <w:color w:val="auto"/>
                      <w:sz w:val="22"/>
                    </w:rPr>
                  </w:pPr>
                </w:p>
              </w:tc>
              <w:tc>
                <w:tcPr>
                  <w:tcW w:w="1560" w:type="dxa"/>
                  <w:tcBorders>
                    <w:top w:val="single" w:sz="4" w:space="0" w:color="auto"/>
                    <w:left w:val="single" w:sz="4" w:space="0" w:color="auto"/>
                    <w:bottom w:val="single" w:sz="4" w:space="0" w:color="auto"/>
                    <w:right w:val="single" w:sz="4" w:space="0" w:color="auto"/>
                  </w:tcBorders>
                </w:tcPr>
                <w:p w14:paraId="245B04A5" w14:textId="77777777" w:rsidR="0096737A" w:rsidRPr="003761A4" w:rsidRDefault="0096737A" w:rsidP="00C83D7E">
                  <w:pPr>
                    <w:pStyle w:val="Default"/>
                    <w:jc w:val="center"/>
                    <w:rPr>
                      <w:rFonts w:ascii="Times New Roman" w:hAnsi="Times New Roman" w:cs="Times New Roman"/>
                      <w:color w:val="auto"/>
                      <w:sz w:val="22"/>
                    </w:rPr>
                  </w:pPr>
                </w:p>
              </w:tc>
              <w:tc>
                <w:tcPr>
                  <w:tcW w:w="1134" w:type="dxa"/>
                  <w:tcBorders>
                    <w:top w:val="single" w:sz="4" w:space="0" w:color="auto"/>
                    <w:left w:val="single" w:sz="4" w:space="0" w:color="auto"/>
                    <w:bottom w:val="single" w:sz="4" w:space="0" w:color="auto"/>
                    <w:right w:val="single" w:sz="4" w:space="0" w:color="auto"/>
                  </w:tcBorders>
                </w:tcPr>
                <w:p w14:paraId="52CE0648" w14:textId="77777777" w:rsidR="0096737A" w:rsidRPr="003761A4" w:rsidRDefault="0096737A" w:rsidP="00C83D7E">
                  <w:pPr>
                    <w:pStyle w:val="Default"/>
                    <w:jc w:val="center"/>
                    <w:rPr>
                      <w:rFonts w:ascii="Times New Roman" w:hAnsi="Times New Roman" w:cs="Times New Roman"/>
                      <w:color w:val="auto"/>
                      <w:sz w:val="22"/>
                    </w:rPr>
                  </w:pPr>
                </w:p>
              </w:tc>
              <w:tc>
                <w:tcPr>
                  <w:tcW w:w="1007" w:type="dxa"/>
                  <w:tcBorders>
                    <w:top w:val="single" w:sz="4" w:space="0" w:color="auto"/>
                    <w:left w:val="single" w:sz="4" w:space="0" w:color="auto"/>
                    <w:bottom w:val="single" w:sz="4" w:space="0" w:color="auto"/>
                    <w:right w:val="single" w:sz="4" w:space="0" w:color="auto"/>
                  </w:tcBorders>
                </w:tcPr>
                <w:p w14:paraId="44D3D7EA" w14:textId="77777777" w:rsidR="0096737A" w:rsidRPr="003761A4" w:rsidRDefault="0096737A" w:rsidP="00C83D7E">
                  <w:pPr>
                    <w:pStyle w:val="Default"/>
                    <w:jc w:val="center"/>
                    <w:rPr>
                      <w:rFonts w:ascii="Times New Roman" w:hAnsi="Times New Roman" w:cs="Times New Roman"/>
                      <w:color w:val="auto"/>
                      <w:sz w:val="22"/>
                    </w:rPr>
                  </w:pPr>
                </w:p>
              </w:tc>
            </w:tr>
            <w:tr w:rsidR="003761A4" w:rsidRPr="003761A4" w14:paraId="60C0C586"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72295E73"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color w:val="auto"/>
                      <w:sz w:val="22"/>
                    </w:rPr>
                    <w:t>привлечение вкладов населения</w:t>
                  </w:r>
                </w:p>
              </w:tc>
              <w:tc>
                <w:tcPr>
                  <w:tcW w:w="1275" w:type="dxa"/>
                  <w:tcBorders>
                    <w:top w:val="single" w:sz="4" w:space="0" w:color="auto"/>
                    <w:left w:val="single" w:sz="4" w:space="0" w:color="auto"/>
                    <w:bottom w:val="single" w:sz="4" w:space="0" w:color="auto"/>
                    <w:right w:val="single" w:sz="4" w:space="0" w:color="auto"/>
                  </w:tcBorders>
                </w:tcPr>
                <w:p w14:paraId="38194D9A"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306</w:t>
                  </w:r>
                </w:p>
              </w:tc>
              <w:tc>
                <w:tcPr>
                  <w:tcW w:w="1560" w:type="dxa"/>
                  <w:tcBorders>
                    <w:top w:val="single" w:sz="4" w:space="0" w:color="auto"/>
                    <w:left w:val="single" w:sz="4" w:space="0" w:color="auto"/>
                    <w:bottom w:val="single" w:sz="4" w:space="0" w:color="auto"/>
                    <w:right w:val="single" w:sz="4" w:space="0" w:color="auto"/>
                  </w:tcBorders>
                </w:tcPr>
                <w:p w14:paraId="3DC2CF1C"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300</w:t>
                  </w:r>
                </w:p>
              </w:tc>
              <w:tc>
                <w:tcPr>
                  <w:tcW w:w="1134" w:type="dxa"/>
                  <w:tcBorders>
                    <w:top w:val="single" w:sz="4" w:space="0" w:color="auto"/>
                    <w:left w:val="single" w:sz="4" w:space="0" w:color="auto"/>
                    <w:bottom w:val="single" w:sz="4" w:space="0" w:color="auto"/>
                    <w:right w:val="single" w:sz="4" w:space="0" w:color="auto"/>
                  </w:tcBorders>
                </w:tcPr>
                <w:p w14:paraId="7590278E"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-6</w:t>
                  </w:r>
                </w:p>
              </w:tc>
              <w:tc>
                <w:tcPr>
                  <w:tcW w:w="1007" w:type="dxa"/>
                  <w:tcBorders>
                    <w:top w:val="single" w:sz="4" w:space="0" w:color="auto"/>
                    <w:left w:val="single" w:sz="4" w:space="0" w:color="auto"/>
                    <w:bottom w:val="single" w:sz="4" w:space="0" w:color="auto"/>
                    <w:right w:val="single" w:sz="4" w:space="0" w:color="auto"/>
                  </w:tcBorders>
                </w:tcPr>
                <w:p w14:paraId="364A703E"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-1,96</w:t>
                  </w:r>
                </w:p>
              </w:tc>
            </w:tr>
            <w:tr w:rsidR="003761A4" w:rsidRPr="003761A4" w14:paraId="0977B6C0"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5E669F10"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color w:val="auto"/>
                      <w:sz w:val="22"/>
                    </w:rPr>
                    <w:t>осуществление операций в иностранной валюте</w:t>
                  </w:r>
                </w:p>
              </w:tc>
              <w:tc>
                <w:tcPr>
                  <w:tcW w:w="1275" w:type="dxa"/>
                  <w:tcBorders>
                    <w:top w:val="single" w:sz="4" w:space="0" w:color="auto"/>
                    <w:left w:val="single" w:sz="4" w:space="0" w:color="auto"/>
                    <w:bottom w:val="single" w:sz="4" w:space="0" w:color="auto"/>
                    <w:right w:val="single" w:sz="4" w:space="0" w:color="auto"/>
                  </w:tcBorders>
                </w:tcPr>
                <w:p w14:paraId="21F10C8B"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364</w:t>
                  </w:r>
                </w:p>
              </w:tc>
              <w:tc>
                <w:tcPr>
                  <w:tcW w:w="1560" w:type="dxa"/>
                  <w:tcBorders>
                    <w:top w:val="single" w:sz="4" w:space="0" w:color="auto"/>
                    <w:left w:val="single" w:sz="4" w:space="0" w:color="auto"/>
                    <w:bottom w:val="single" w:sz="4" w:space="0" w:color="auto"/>
                    <w:right w:val="single" w:sz="4" w:space="0" w:color="auto"/>
                  </w:tcBorders>
                </w:tcPr>
                <w:p w14:paraId="377B0145"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359</w:t>
                  </w:r>
                </w:p>
              </w:tc>
              <w:tc>
                <w:tcPr>
                  <w:tcW w:w="1134" w:type="dxa"/>
                  <w:tcBorders>
                    <w:top w:val="single" w:sz="4" w:space="0" w:color="auto"/>
                    <w:left w:val="single" w:sz="4" w:space="0" w:color="auto"/>
                    <w:bottom w:val="single" w:sz="4" w:space="0" w:color="auto"/>
                    <w:right w:val="single" w:sz="4" w:space="0" w:color="auto"/>
                  </w:tcBorders>
                </w:tcPr>
                <w:p w14:paraId="04EC8691"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-5</w:t>
                  </w:r>
                </w:p>
              </w:tc>
              <w:tc>
                <w:tcPr>
                  <w:tcW w:w="1007" w:type="dxa"/>
                  <w:tcBorders>
                    <w:top w:val="single" w:sz="4" w:space="0" w:color="auto"/>
                    <w:left w:val="single" w:sz="4" w:space="0" w:color="auto"/>
                    <w:bottom w:val="single" w:sz="4" w:space="0" w:color="auto"/>
                    <w:right w:val="single" w:sz="4" w:space="0" w:color="auto"/>
                  </w:tcBorders>
                </w:tcPr>
                <w:p w14:paraId="00F31BA2"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-1,37</w:t>
                  </w:r>
                </w:p>
              </w:tc>
            </w:tr>
            <w:tr w:rsidR="003761A4" w:rsidRPr="003761A4" w14:paraId="73BB1688"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50AA8D43"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color w:val="auto"/>
                      <w:sz w:val="22"/>
                    </w:rPr>
                    <w:t>проведение операций с драгметаллами</w:t>
                  </w:r>
                </w:p>
              </w:tc>
              <w:tc>
                <w:tcPr>
                  <w:tcW w:w="1275" w:type="dxa"/>
                  <w:tcBorders>
                    <w:top w:val="single" w:sz="4" w:space="0" w:color="auto"/>
                    <w:left w:val="single" w:sz="4" w:space="0" w:color="auto"/>
                    <w:bottom w:val="single" w:sz="4" w:space="0" w:color="auto"/>
                    <w:right w:val="single" w:sz="4" w:space="0" w:color="auto"/>
                  </w:tcBorders>
                </w:tcPr>
                <w:p w14:paraId="39FA1A72"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166</w:t>
                  </w:r>
                </w:p>
              </w:tc>
              <w:tc>
                <w:tcPr>
                  <w:tcW w:w="1560" w:type="dxa"/>
                  <w:tcBorders>
                    <w:top w:val="single" w:sz="4" w:space="0" w:color="auto"/>
                    <w:left w:val="single" w:sz="4" w:space="0" w:color="auto"/>
                    <w:bottom w:val="single" w:sz="4" w:space="0" w:color="auto"/>
                    <w:right w:val="single" w:sz="4" w:space="0" w:color="auto"/>
                  </w:tcBorders>
                </w:tcPr>
                <w:p w14:paraId="4AD55424"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170</w:t>
                  </w:r>
                </w:p>
              </w:tc>
              <w:tc>
                <w:tcPr>
                  <w:tcW w:w="1134" w:type="dxa"/>
                  <w:tcBorders>
                    <w:top w:val="single" w:sz="4" w:space="0" w:color="auto"/>
                    <w:left w:val="single" w:sz="4" w:space="0" w:color="auto"/>
                    <w:bottom w:val="single" w:sz="4" w:space="0" w:color="auto"/>
                    <w:right w:val="single" w:sz="4" w:space="0" w:color="auto"/>
                  </w:tcBorders>
                </w:tcPr>
                <w:p w14:paraId="7509C2EA"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4</w:t>
                  </w:r>
                </w:p>
              </w:tc>
              <w:tc>
                <w:tcPr>
                  <w:tcW w:w="1007" w:type="dxa"/>
                  <w:tcBorders>
                    <w:top w:val="single" w:sz="4" w:space="0" w:color="auto"/>
                    <w:left w:val="single" w:sz="4" w:space="0" w:color="auto"/>
                    <w:bottom w:val="single" w:sz="4" w:space="0" w:color="auto"/>
                    <w:right w:val="single" w:sz="4" w:space="0" w:color="auto"/>
                  </w:tcBorders>
                </w:tcPr>
                <w:p w14:paraId="1287830C"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2,41</w:t>
                  </w:r>
                </w:p>
              </w:tc>
            </w:tr>
            <w:tr w:rsidR="003761A4" w:rsidRPr="003761A4" w14:paraId="050F218C"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6B5C61EE"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color w:val="auto"/>
                      <w:sz w:val="22"/>
                    </w:rPr>
                    <w:t>Зарегистрированный уставный фонд (капитал) банковского сектора (млрд. рублей)</w:t>
                  </w:r>
                </w:p>
              </w:tc>
              <w:tc>
                <w:tcPr>
                  <w:tcW w:w="1275" w:type="dxa"/>
                  <w:tcBorders>
                    <w:top w:val="single" w:sz="4" w:space="0" w:color="auto"/>
                    <w:left w:val="single" w:sz="4" w:space="0" w:color="auto"/>
                    <w:bottom w:val="single" w:sz="4" w:space="0" w:color="auto"/>
                    <w:right w:val="single" w:sz="4" w:space="0" w:color="auto"/>
                  </w:tcBorders>
                </w:tcPr>
                <w:p w14:paraId="5225D17C"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2830</w:t>
                  </w:r>
                </w:p>
              </w:tc>
              <w:tc>
                <w:tcPr>
                  <w:tcW w:w="1560" w:type="dxa"/>
                  <w:tcBorders>
                    <w:top w:val="single" w:sz="4" w:space="0" w:color="auto"/>
                    <w:left w:val="single" w:sz="4" w:space="0" w:color="auto"/>
                    <w:bottom w:val="single" w:sz="4" w:space="0" w:color="auto"/>
                    <w:right w:val="single" w:sz="4" w:space="0" w:color="auto"/>
                  </w:tcBorders>
                </w:tcPr>
                <w:p w14:paraId="0FE25CCA"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2964</w:t>
                  </w:r>
                </w:p>
              </w:tc>
              <w:tc>
                <w:tcPr>
                  <w:tcW w:w="1134" w:type="dxa"/>
                  <w:tcBorders>
                    <w:top w:val="single" w:sz="4" w:space="0" w:color="auto"/>
                    <w:left w:val="single" w:sz="4" w:space="0" w:color="auto"/>
                    <w:bottom w:val="single" w:sz="4" w:space="0" w:color="auto"/>
                    <w:right w:val="single" w:sz="4" w:space="0" w:color="auto"/>
                  </w:tcBorders>
                </w:tcPr>
                <w:p w14:paraId="7A0E6395"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134</w:t>
                  </w:r>
                </w:p>
              </w:tc>
              <w:tc>
                <w:tcPr>
                  <w:tcW w:w="1007" w:type="dxa"/>
                  <w:tcBorders>
                    <w:top w:val="single" w:sz="4" w:space="0" w:color="auto"/>
                    <w:left w:val="single" w:sz="4" w:space="0" w:color="auto"/>
                    <w:bottom w:val="single" w:sz="4" w:space="0" w:color="auto"/>
                    <w:right w:val="single" w:sz="4" w:space="0" w:color="auto"/>
                  </w:tcBorders>
                </w:tcPr>
                <w:p w14:paraId="150F3FCC"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4,73</w:t>
                  </w:r>
                </w:p>
              </w:tc>
            </w:tr>
            <w:tr w:rsidR="003761A4" w:rsidRPr="003761A4" w14:paraId="6797505F"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3086A052"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color w:val="auto"/>
                      <w:sz w:val="22"/>
                    </w:rPr>
                    <w:t>Совокупный уставный фонд (капитал) банковского сектора (млрд. рублей)</w:t>
                  </w:r>
                </w:p>
              </w:tc>
              <w:tc>
                <w:tcPr>
                  <w:tcW w:w="1275" w:type="dxa"/>
                  <w:tcBorders>
                    <w:top w:val="single" w:sz="4" w:space="0" w:color="auto"/>
                    <w:left w:val="single" w:sz="4" w:space="0" w:color="auto"/>
                    <w:bottom w:val="single" w:sz="4" w:space="0" w:color="auto"/>
                    <w:right w:val="single" w:sz="4" w:space="0" w:color="auto"/>
                  </w:tcBorders>
                </w:tcPr>
                <w:p w14:paraId="37C146ED"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2885</w:t>
                  </w:r>
                </w:p>
              </w:tc>
              <w:tc>
                <w:tcPr>
                  <w:tcW w:w="1560" w:type="dxa"/>
                  <w:tcBorders>
                    <w:top w:val="single" w:sz="4" w:space="0" w:color="auto"/>
                    <w:left w:val="single" w:sz="4" w:space="0" w:color="auto"/>
                    <w:bottom w:val="single" w:sz="4" w:space="0" w:color="auto"/>
                    <w:right w:val="single" w:sz="4" w:space="0" w:color="auto"/>
                  </w:tcBorders>
                </w:tcPr>
                <w:p w14:paraId="0CCAC379"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3046</w:t>
                  </w:r>
                </w:p>
              </w:tc>
              <w:tc>
                <w:tcPr>
                  <w:tcW w:w="1134" w:type="dxa"/>
                  <w:tcBorders>
                    <w:top w:val="single" w:sz="4" w:space="0" w:color="auto"/>
                    <w:left w:val="single" w:sz="4" w:space="0" w:color="auto"/>
                    <w:bottom w:val="single" w:sz="4" w:space="0" w:color="auto"/>
                    <w:right w:val="single" w:sz="4" w:space="0" w:color="auto"/>
                  </w:tcBorders>
                </w:tcPr>
                <w:p w14:paraId="59B9B679"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161</w:t>
                  </w:r>
                </w:p>
              </w:tc>
              <w:tc>
                <w:tcPr>
                  <w:tcW w:w="1007" w:type="dxa"/>
                  <w:tcBorders>
                    <w:top w:val="single" w:sz="4" w:space="0" w:color="auto"/>
                    <w:left w:val="single" w:sz="4" w:space="0" w:color="auto"/>
                    <w:bottom w:val="single" w:sz="4" w:space="0" w:color="auto"/>
                    <w:right w:val="single" w:sz="4" w:space="0" w:color="auto"/>
                  </w:tcBorders>
                </w:tcPr>
                <w:p w14:paraId="449A1EAB"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5,58</w:t>
                  </w:r>
                </w:p>
              </w:tc>
            </w:tr>
            <w:tr w:rsidR="003761A4" w:rsidRPr="003761A4" w14:paraId="29852725"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32F34CF1"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color w:val="auto"/>
                      <w:sz w:val="22"/>
                    </w:rPr>
                    <w:t>Филиалы действующих кредитных организаций на территории Российской Федерации</w:t>
                  </w:r>
                </w:p>
              </w:tc>
              <w:tc>
                <w:tcPr>
                  <w:tcW w:w="1275" w:type="dxa"/>
                  <w:tcBorders>
                    <w:top w:val="single" w:sz="4" w:space="0" w:color="auto"/>
                    <w:left w:val="single" w:sz="4" w:space="0" w:color="auto"/>
                    <w:bottom w:val="single" w:sz="4" w:space="0" w:color="auto"/>
                    <w:right w:val="single" w:sz="4" w:space="0" w:color="auto"/>
                  </w:tcBorders>
                </w:tcPr>
                <w:p w14:paraId="3ADB79C4"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471</w:t>
                  </w:r>
                </w:p>
              </w:tc>
              <w:tc>
                <w:tcPr>
                  <w:tcW w:w="1560" w:type="dxa"/>
                  <w:tcBorders>
                    <w:top w:val="single" w:sz="4" w:space="0" w:color="auto"/>
                    <w:left w:val="single" w:sz="4" w:space="0" w:color="auto"/>
                    <w:bottom w:val="single" w:sz="4" w:space="0" w:color="auto"/>
                    <w:right w:val="single" w:sz="4" w:space="0" w:color="auto"/>
                  </w:tcBorders>
                </w:tcPr>
                <w:p w14:paraId="10DB213C"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449</w:t>
                  </w:r>
                </w:p>
              </w:tc>
              <w:tc>
                <w:tcPr>
                  <w:tcW w:w="1134" w:type="dxa"/>
                  <w:tcBorders>
                    <w:top w:val="single" w:sz="4" w:space="0" w:color="auto"/>
                    <w:left w:val="single" w:sz="4" w:space="0" w:color="auto"/>
                    <w:bottom w:val="single" w:sz="4" w:space="0" w:color="auto"/>
                    <w:right w:val="single" w:sz="4" w:space="0" w:color="auto"/>
                  </w:tcBorders>
                </w:tcPr>
                <w:p w14:paraId="4196A3C8"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-22</w:t>
                  </w:r>
                </w:p>
              </w:tc>
              <w:tc>
                <w:tcPr>
                  <w:tcW w:w="1007" w:type="dxa"/>
                  <w:tcBorders>
                    <w:top w:val="single" w:sz="4" w:space="0" w:color="auto"/>
                    <w:left w:val="single" w:sz="4" w:space="0" w:color="auto"/>
                    <w:bottom w:val="single" w:sz="4" w:space="0" w:color="auto"/>
                    <w:right w:val="single" w:sz="4" w:space="0" w:color="auto"/>
                  </w:tcBorders>
                </w:tcPr>
                <w:p w14:paraId="4B161735"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-4,67</w:t>
                  </w:r>
                </w:p>
              </w:tc>
            </w:tr>
            <w:tr w:rsidR="003761A4" w:rsidRPr="003761A4" w14:paraId="11AE12F5"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743B7694"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color w:val="auto"/>
                      <w:sz w:val="22"/>
                    </w:rPr>
                    <w:t>Представительства действующих российских кредитных организаций</w:t>
                  </w:r>
                </w:p>
              </w:tc>
              <w:tc>
                <w:tcPr>
                  <w:tcW w:w="1275" w:type="dxa"/>
                  <w:tcBorders>
                    <w:top w:val="single" w:sz="4" w:space="0" w:color="auto"/>
                    <w:left w:val="single" w:sz="4" w:space="0" w:color="auto"/>
                    <w:bottom w:val="single" w:sz="4" w:space="0" w:color="auto"/>
                    <w:right w:val="single" w:sz="4" w:space="0" w:color="auto"/>
                  </w:tcBorders>
                </w:tcPr>
                <w:p w14:paraId="2840F830"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183</w:t>
                  </w:r>
                </w:p>
              </w:tc>
              <w:tc>
                <w:tcPr>
                  <w:tcW w:w="1560" w:type="dxa"/>
                  <w:tcBorders>
                    <w:top w:val="single" w:sz="4" w:space="0" w:color="auto"/>
                    <w:left w:val="single" w:sz="4" w:space="0" w:color="auto"/>
                    <w:bottom w:val="single" w:sz="4" w:space="0" w:color="auto"/>
                    <w:right w:val="single" w:sz="4" w:space="0" w:color="auto"/>
                  </w:tcBorders>
                </w:tcPr>
                <w:p w14:paraId="5F7E1CFB"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162</w:t>
                  </w:r>
                </w:p>
              </w:tc>
              <w:tc>
                <w:tcPr>
                  <w:tcW w:w="1134" w:type="dxa"/>
                  <w:tcBorders>
                    <w:top w:val="single" w:sz="4" w:space="0" w:color="auto"/>
                    <w:left w:val="single" w:sz="4" w:space="0" w:color="auto"/>
                    <w:bottom w:val="single" w:sz="4" w:space="0" w:color="auto"/>
                    <w:right w:val="single" w:sz="4" w:space="0" w:color="auto"/>
                  </w:tcBorders>
                </w:tcPr>
                <w:p w14:paraId="042AB755"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21</w:t>
                  </w:r>
                </w:p>
              </w:tc>
              <w:tc>
                <w:tcPr>
                  <w:tcW w:w="1007" w:type="dxa"/>
                  <w:tcBorders>
                    <w:top w:val="single" w:sz="4" w:space="0" w:color="auto"/>
                    <w:left w:val="single" w:sz="4" w:space="0" w:color="auto"/>
                    <w:bottom w:val="single" w:sz="4" w:space="0" w:color="auto"/>
                    <w:right w:val="single" w:sz="4" w:space="0" w:color="auto"/>
                  </w:tcBorders>
                </w:tcPr>
                <w:p w14:paraId="75C7EBCD"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-11,48</w:t>
                  </w:r>
                </w:p>
              </w:tc>
            </w:tr>
            <w:tr w:rsidR="003761A4" w:rsidRPr="003761A4" w14:paraId="1AE87F66"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5E1A01AA" w14:textId="77777777" w:rsidR="0096737A" w:rsidRPr="003761A4" w:rsidRDefault="0096737A" w:rsidP="00C83D7E">
                  <w:pPr>
                    <w:rPr>
                      <w:rFonts w:ascii="Times New Roman" w:hAnsi="Times New Roman"/>
                      <w:szCs w:val="24"/>
                    </w:rPr>
                  </w:pPr>
                  <w:r w:rsidRPr="003761A4">
                    <w:rPr>
                      <w:rFonts w:ascii="Times New Roman" w:hAnsi="Times New Roman"/>
                      <w:szCs w:val="24"/>
                    </w:rPr>
                    <w:t>Внутренние структурные подразделения</w:t>
                  </w:r>
                </w:p>
                <w:p w14:paraId="26BECD99"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color w:val="auto"/>
                      <w:sz w:val="22"/>
                    </w:rPr>
                    <w:t>кредитных организаций (филиалов)</w:t>
                  </w:r>
                </w:p>
              </w:tc>
              <w:tc>
                <w:tcPr>
                  <w:tcW w:w="1275" w:type="dxa"/>
                  <w:tcBorders>
                    <w:top w:val="single" w:sz="4" w:space="0" w:color="auto"/>
                    <w:left w:val="single" w:sz="4" w:space="0" w:color="auto"/>
                    <w:bottom w:val="single" w:sz="4" w:space="0" w:color="auto"/>
                    <w:right w:val="single" w:sz="4" w:space="0" w:color="auto"/>
                  </w:tcBorders>
                </w:tcPr>
                <w:p w14:paraId="00E21D35"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26 202</w:t>
                  </w:r>
                </w:p>
              </w:tc>
              <w:tc>
                <w:tcPr>
                  <w:tcW w:w="1560" w:type="dxa"/>
                  <w:tcBorders>
                    <w:top w:val="single" w:sz="4" w:space="0" w:color="auto"/>
                    <w:left w:val="single" w:sz="4" w:space="0" w:color="auto"/>
                    <w:bottom w:val="single" w:sz="4" w:space="0" w:color="auto"/>
                    <w:right w:val="single" w:sz="4" w:space="0" w:color="auto"/>
                  </w:tcBorders>
                </w:tcPr>
                <w:p w14:paraId="7D873DB0"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24519</w:t>
                  </w:r>
                </w:p>
              </w:tc>
              <w:tc>
                <w:tcPr>
                  <w:tcW w:w="1134" w:type="dxa"/>
                  <w:tcBorders>
                    <w:top w:val="single" w:sz="4" w:space="0" w:color="auto"/>
                    <w:left w:val="single" w:sz="4" w:space="0" w:color="auto"/>
                    <w:bottom w:val="single" w:sz="4" w:space="0" w:color="auto"/>
                    <w:right w:val="single" w:sz="4" w:space="0" w:color="auto"/>
                  </w:tcBorders>
                </w:tcPr>
                <w:p w14:paraId="4856750F"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-1683</w:t>
                  </w:r>
                </w:p>
              </w:tc>
              <w:tc>
                <w:tcPr>
                  <w:tcW w:w="1007" w:type="dxa"/>
                  <w:tcBorders>
                    <w:top w:val="single" w:sz="4" w:space="0" w:color="auto"/>
                    <w:bottom w:val="single" w:sz="4" w:space="0" w:color="auto"/>
                    <w:right w:val="single" w:sz="4" w:space="0" w:color="auto"/>
                  </w:tcBorders>
                </w:tcPr>
                <w:p w14:paraId="37D5AA06"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-6,42</w:t>
                  </w:r>
                </w:p>
              </w:tc>
            </w:tr>
            <w:tr w:rsidR="003761A4" w:rsidRPr="003761A4" w14:paraId="6AEE8567"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646C3003" w14:textId="77777777" w:rsidR="0096737A" w:rsidRPr="003761A4" w:rsidRDefault="0096737A" w:rsidP="00C83D7E">
                  <w:pPr>
                    <w:rPr>
                      <w:rFonts w:ascii="Times New Roman" w:hAnsi="Times New Roman"/>
                      <w:szCs w:val="24"/>
                    </w:rPr>
                  </w:pPr>
                  <w:r w:rsidRPr="003761A4">
                    <w:rPr>
                      <w:rFonts w:ascii="Times New Roman" w:hAnsi="Times New Roman"/>
                      <w:szCs w:val="24"/>
                    </w:rPr>
                    <w:t>в том числе:</w:t>
                  </w:r>
                </w:p>
              </w:tc>
              <w:tc>
                <w:tcPr>
                  <w:tcW w:w="1275" w:type="dxa"/>
                  <w:tcBorders>
                    <w:top w:val="single" w:sz="4" w:space="0" w:color="auto"/>
                    <w:left w:val="single" w:sz="4" w:space="0" w:color="auto"/>
                    <w:bottom w:val="single" w:sz="4" w:space="0" w:color="auto"/>
                    <w:right w:val="single" w:sz="4" w:space="0" w:color="auto"/>
                  </w:tcBorders>
                </w:tcPr>
                <w:p w14:paraId="257AD9A1" w14:textId="77777777" w:rsidR="0096737A" w:rsidRPr="003761A4" w:rsidRDefault="0096737A" w:rsidP="00C83D7E">
                  <w:pPr>
                    <w:pStyle w:val="Default"/>
                    <w:jc w:val="center"/>
                    <w:rPr>
                      <w:rFonts w:ascii="Times New Roman" w:hAnsi="Times New Roman" w:cs="Times New Roman"/>
                      <w:color w:val="auto"/>
                      <w:sz w:val="22"/>
                    </w:rPr>
                  </w:pPr>
                </w:p>
              </w:tc>
              <w:tc>
                <w:tcPr>
                  <w:tcW w:w="1560" w:type="dxa"/>
                  <w:tcBorders>
                    <w:top w:val="single" w:sz="4" w:space="0" w:color="auto"/>
                    <w:left w:val="single" w:sz="4" w:space="0" w:color="auto"/>
                    <w:bottom w:val="single" w:sz="4" w:space="0" w:color="auto"/>
                    <w:right w:val="single" w:sz="4" w:space="0" w:color="auto"/>
                  </w:tcBorders>
                </w:tcPr>
                <w:p w14:paraId="74FBB699" w14:textId="77777777" w:rsidR="0096737A" w:rsidRPr="003761A4" w:rsidRDefault="0096737A" w:rsidP="00C83D7E">
                  <w:pPr>
                    <w:pStyle w:val="Default"/>
                    <w:jc w:val="center"/>
                    <w:rPr>
                      <w:rFonts w:ascii="Times New Roman" w:hAnsi="Times New Roman" w:cs="Times New Roman"/>
                      <w:color w:val="auto"/>
                      <w:sz w:val="22"/>
                    </w:rPr>
                  </w:pPr>
                </w:p>
              </w:tc>
              <w:tc>
                <w:tcPr>
                  <w:tcW w:w="1134" w:type="dxa"/>
                  <w:tcBorders>
                    <w:top w:val="single" w:sz="4" w:space="0" w:color="auto"/>
                    <w:left w:val="single" w:sz="4" w:space="0" w:color="auto"/>
                    <w:bottom w:val="single" w:sz="4" w:space="0" w:color="auto"/>
                    <w:right w:val="single" w:sz="4" w:space="0" w:color="auto"/>
                  </w:tcBorders>
                </w:tcPr>
                <w:p w14:paraId="779905DD" w14:textId="77777777" w:rsidR="0096737A" w:rsidRPr="003761A4" w:rsidRDefault="0096737A" w:rsidP="00C83D7E">
                  <w:pPr>
                    <w:pStyle w:val="Default"/>
                    <w:jc w:val="center"/>
                    <w:rPr>
                      <w:rFonts w:ascii="Times New Roman" w:hAnsi="Times New Roman" w:cs="Times New Roman"/>
                      <w:color w:val="auto"/>
                      <w:sz w:val="22"/>
                    </w:rPr>
                  </w:pPr>
                </w:p>
              </w:tc>
              <w:tc>
                <w:tcPr>
                  <w:tcW w:w="1007" w:type="dxa"/>
                  <w:tcBorders>
                    <w:top w:val="single" w:sz="4" w:space="0" w:color="auto"/>
                    <w:left w:val="single" w:sz="4" w:space="0" w:color="auto"/>
                    <w:bottom w:val="single" w:sz="4" w:space="0" w:color="auto"/>
                    <w:right w:val="single" w:sz="4" w:space="0" w:color="auto"/>
                  </w:tcBorders>
                </w:tcPr>
                <w:p w14:paraId="4482D9E8" w14:textId="77777777" w:rsidR="0096737A" w:rsidRPr="003761A4" w:rsidRDefault="0096737A" w:rsidP="00C83D7E">
                  <w:pPr>
                    <w:pStyle w:val="Default"/>
                    <w:jc w:val="center"/>
                    <w:rPr>
                      <w:rFonts w:ascii="Times New Roman" w:hAnsi="Times New Roman" w:cs="Times New Roman"/>
                      <w:color w:val="auto"/>
                      <w:sz w:val="22"/>
                    </w:rPr>
                  </w:pPr>
                </w:p>
              </w:tc>
            </w:tr>
            <w:tr w:rsidR="003761A4" w:rsidRPr="003761A4" w14:paraId="17561E7C"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5B809E60"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color w:val="auto"/>
                      <w:sz w:val="22"/>
                    </w:rPr>
                    <w:t>дополнительные офисы</w:t>
                  </w:r>
                </w:p>
              </w:tc>
              <w:tc>
                <w:tcPr>
                  <w:tcW w:w="1275" w:type="dxa"/>
                  <w:tcBorders>
                    <w:top w:val="single" w:sz="4" w:space="0" w:color="auto"/>
                    <w:left w:val="single" w:sz="4" w:space="0" w:color="auto"/>
                    <w:bottom w:val="single" w:sz="4" w:space="0" w:color="auto"/>
                    <w:right w:val="single" w:sz="4" w:space="0" w:color="auto"/>
                  </w:tcBorders>
                </w:tcPr>
                <w:p w14:paraId="7048C0AF"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18 536</w:t>
                  </w:r>
                </w:p>
              </w:tc>
              <w:tc>
                <w:tcPr>
                  <w:tcW w:w="1560" w:type="dxa"/>
                  <w:tcBorders>
                    <w:top w:val="single" w:sz="4" w:space="0" w:color="auto"/>
                    <w:left w:val="single" w:sz="4" w:space="0" w:color="auto"/>
                    <w:bottom w:val="single" w:sz="4" w:space="0" w:color="auto"/>
                    <w:right w:val="single" w:sz="4" w:space="0" w:color="auto"/>
                  </w:tcBorders>
                </w:tcPr>
                <w:p w14:paraId="3214E46C"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w:t>
                  </w:r>
                </w:p>
              </w:tc>
              <w:tc>
                <w:tcPr>
                  <w:tcW w:w="1134" w:type="dxa"/>
                  <w:tcBorders>
                    <w:top w:val="single" w:sz="4" w:space="0" w:color="auto"/>
                    <w:left w:val="single" w:sz="4" w:space="0" w:color="auto"/>
                    <w:bottom w:val="single" w:sz="4" w:space="0" w:color="auto"/>
                    <w:right w:val="single" w:sz="4" w:space="0" w:color="auto"/>
                  </w:tcBorders>
                </w:tcPr>
                <w:p w14:paraId="668BDDF8" w14:textId="77777777" w:rsidR="0096737A" w:rsidRPr="003761A4" w:rsidRDefault="0096737A" w:rsidP="00C83D7E">
                  <w:pPr>
                    <w:pStyle w:val="Default"/>
                    <w:jc w:val="center"/>
                    <w:rPr>
                      <w:rFonts w:ascii="Times New Roman" w:hAnsi="Times New Roman" w:cs="Times New Roman"/>
                      <w:color w:val="auto"/>
                      <w:sz w:val="22"/>
                    </w:rPr>
                  </w:pPr>
                </w:p>
              </w:tc>
              <w:tc>
                <w:tcPr>
                  <w:tcW w:w="1007" w:type="dxa"/>
                  <w:tcBorders>
                    <w:top w:val="single" w:sz="4" w:space="0" w:color="auto"/>
                    <w:left w:val="single" w:sz="4" w:space="0" w:color="auto"/>
                    <w:bottom w:val="single" w:sz="4" w:space="0" w:color="auto"/>
                    <w:right w:val="single" w:sz="4" w:space="0" w:color="auto"/>
                  </w:tcBorders>
                </w:tcPr>
                <w:p w14:paraId="1ECF7206" w14:textId="77777777" w:rsidR="0096737A" w:rsidRPr="003761A4" w:rsidRDefault="0096737A" w:rsidP="00C83D7E">
                  <w:pPr>
                    <w:pStyle w:val="Default"/>
                    <w:jc w:val="center"/>
                    <w:rPr>
                      <w:rFonts w:ascii="Times New Roman" w:hAnsi="Times New Roman" w:cs="Times New Roman"/>
                      <w:color w:val="auto"/>
                      <w:sz w:val="22"/>
                    </w:rPr>
                  </w:pPr>
                </w:p>
              </w:tc>
            </w:tr>
            <w:tr w:rsidR="003761A4" w:rsidRPr="003761A4" w14:paraId="3B817AD2"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5DDC2767"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color w:val="auto"/>
                      <w:sz w:val="22"/>
                    </w:rPr>
                    <w:t>операционные кассы вне кассового узла</w:t>
                  </w:r>
                </w:p>
              </w:tc>
              <w:tc>
                <w:tcPr>
                  <w:tcW w:w="1275" w:type="dxa"/>
                  <w:tcBorders>
                    <w:top w:val="single" w:sz="4" w:space="0" w:color="auto"/>
                    <w:left w:val="single" w:sz="4" w:space="0" w:color="auto"/>
                    <w:bottom w:val="single" w:sz="4" w:space="0" w:color="auto"/>
                    <w:right w:val="single" w:sz="4" w:space="0" w:color="auto"/>
                  </w:tcBorders>
                </w:tcPr>
                <w:p w14:paraId="61E088A3"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620</w:t>
                  </w:r>
                </w:p>
              </w:tc>
              <w:tc>
                <w:tcPr>
                  <w:tcW w:w="1560" w:type="dxa"/>
                  <w:tcBorders>
                    <w:top w:val="single" w:sz="4" w:space="0" w:color="auto"/>
                    <w:left w:val="single" w:sz="4" w:space="0" w:color="auto"/>
                    <w:bottom w:val="single" w:sz="4" w:space="0" w:color="auto"/>
                    <w:right w:val="single" w:sz="4" w:space="0" w:color="auto"/>
                  </w:tcBorders>
                </w:tcPr>
                <w:p w14:paraId="7DE6B678"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w:t>
                  </w:r>
                </w:p>
              </w:tc>
              <w:tc>
                <w:tcPr>
                  <w:tcW w:w="1134" w:type="dxa"/>
                  <w:tcBorders>
                    <w:top w:val="single" w:sz="4" w:space="0" w:color="auto"/>
                    <w:left w:val="single" w:sz="4" w:space="0" w:color="auto"/>
                    <w:bottom w:val="single" w:sz="4" w:space="0" w:color="auto"/>
                    <w:right w:val="single" w:sz="4" w:space="0" w:color="auto"/>
                  </w:tcBorders>
                </w:tcPr>
                <w:p w14:paraId="16F310F5" w14:textId="77777777" w:rsidR="0096737A" w:rsidRPr="003761A4" w:rsidRDefault="0096737A" w:rsidP="00C83D7E">
                  <w:pPr>
                    <w:pStyle w:val="Default"/>
                    <w:jc w:val="center"/>
                    <w:rPr>
                      <w:rFonts w:ascii="Times New Roman" w:hAnsi="Times New Roman" w:cs="Times New Roman"/>
                      <w:color w:val="auto"/>
                      <w:sz w:val="22"/>
                    </w:rPr>
                  </w:pPr>
                </w:p>
              </w:tc>
              <w:tc>
                <w:tcPr>
                  <w:tcW w:w="1007" w:type="dxa"/>
                  <w:tcBorders>
                    <w:top w:val="single" w:sz="4" w:space="0" w:color="auto"/>
                    <w:left w:val="single" w:sz="4" w:space="0" w:color="auto"/>
                    <w:bottom w:val="single" w:sz="4" w:space="0" w:color="auto"/>
                    <w:right w:val="single" w:sz="4" w:space="0" w:color="auto"/>
                  </w:tcBorders>
                </w:tcPr>
                <w:p w14:paraId="05DE481F" w14:textId="77777777" w:rsidR="0096737A" w:rsidRPr="003761A4" w:rsidRDefault="0096737A" w:rsidP="00C83D7E">
                  <w:pPr>
                    <w:pStyle w:val="Default"/>
                    <w:jc w:val="center"/>
                    <w:rPr>
                      <w:rFonts w:ascii="Times New Roman" w:hAnsi="Times New Roman" w:cs="Times New Roman"/>
                      <w:color w:val="auto"/>
                      <w:sz w:val="22"/>
                    </w:rPr>
                  </w:pPr>
                </w:p>
              </w:tc>
            </w:tr>
            <w:tr w:rsidR="003761A4" w:rsidRPr="003761A4" w14:paraId="3D747EFB"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71518E8C"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color w:val="auto"/>
                      <w:sz w:val="22"/>
                    </w:rPr>
                    <w:t>кредитно-кассовые офисы</w:t>
                  </w:r>
                </w:p>
              </w:tc>
              <w:tc>
                <w:tcPr>
                  <w:tcW w:w="1275" w:type="dxa"/>
                  <w:tcBorders>
                    <w:top w:val="single" w:sz="4" w:space="0" w:color="auto"/>
                    <w:left w:val="single" w:sz="4" w:space="0" w:color="auto"/>
                    <w:bottom w:val="single" w:sz="4" w:space="0" w:color="auto"/>
                    <w:right w:val="single" w:sz="4" w:space="0" w:color="auto"/>
                  </w:tcBorders>
                </w:tcPr>
                <w:p w14:paraId="60D67CE8"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2 074</w:t>
                  </w:r>
                </w:p>
              </w:tc>
              <w:tc>
                <w:tcPr>
                  <w:tcW w:w="1560" w:type="dxa"/>
                  <w:tcBorders>
                    <w:top w:val="single" w:sz="4" w:space="0" w:color="auto"/>
                    <w:left w:val="single" w:sz="4" w:space="0" w:color="auto"/>
                    <w:bottom w:val="single" w:sz="4" w:space="0" w:color="auto"/>
                    <w:right w:val="single" w:sz="4" w:space="0" w:color="auto"/>
                  </w:tcBorders>
                </w:tcPr>
                <w:p w14:paraId="1F82A76D"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w:t>
                  </w:r>
                </w:p>
              </w:tc>
              <w:tc>
                <w:tcPr>
                  <w:tcW w:w="1134" w:type="dxa"/>
                  <w:tcBorders>
                    <w:top w:val="single" w:sz="4" w:space="0" w:color="auto"/>
                    <w:left w:val="single" w:sz="4" w:space="0" w:color="auto"/>
                    <w:bottom w:val="single" w:sz="4" w:space="0" w:color="auto"/>
                    <w:right w:val="single" w:sz="4" w:space="0" w:color="auto"/>
                  </w:tcBorders>
                </w:tcPr>
                <w:p w14:paraId="725DBD96" w14:textId="77777777" w:rsidR="0096737A" w:rsidRPr="003761A4" w:rsidRDefault="0096737A" w:rsidP="00C83D7E">
                  <w:pPr>
                    <w:pStyle w:val="Default"/>
                    <w:jc w:val="center"/>
                    <w:rPr>
                      <w:rFonts w:ascii="Times New Roman" w:hAnsi="Times New Roman" w:cs="Times New Roman"/>
                      <w:color w:val="auto"/>
                      <w:sz w:val="22"/>
                    </w:rPr>
                  </w:pPr>
                </w:p>
              </w:tc>
              <w:tc>
                <w:tcPr>
                  <w:tcW w:w="1007" w:type="dxa"/>
                  <w:tcBorders>
                    <w:top w:val="single" w:sz="4" w:space="0" w:color="auto"/>
                    <w:left w:val="single" w:sz="4" w:space="0" w:color="auto"/>
                    <w:bottom w:val="single" w:sz="4" w:space="0" w:color="auto"/>
                    <w:right w:val="single" w:sz="4" w:space="0" w:color="auto"/>
                  </w:tcBorders>
                </w:tcPr>
                <w:p w14:paraId="113F1E27" w14:textId="77777777" w:rsidR="0096737A" w:rsidRPr="003761A4" w:rsidRDefault="0096737A" w:rsidP="00C83D7E">
                  <w:pPr>
                    <w:pStyle w:val="Default"/>
                    <w:jc w:val="center"/>
                    <w:rPr>
                      <w:rFonts w:ascii="Times New Roman" w:hAnsi="Times New Roman" w:cs="Times New Roman"/>
                      <w:color w:val="auto"/>
                      <w:sz w:val="22"/>
                    </w:rPr>
                  </w:pPr>
                </w:p>
              </w:tc>
            </w:tr>
            <w:tr w:rsidR="003761A4" w:rsidRPr="003761A4" w14:paraId="63AECCDA"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39384198"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color w:val="auto"/>
                      <w:sz w:val="22"/>
                    </w:rPr>
                    <w:t>операционные офисы</w:t>
                  </w:r>
                </w:p>
              </w:tc>
              <w:tc>
                <w:tcPr>
                  <w:tcW w:w="1275" w:type="dxa"/>
                  <w:tcBorders>
                    <w:top w:val="single" w:sz="4" w:space="0" w:color="auto"/>
                    <w:left w:val="single" w:sz="4" w:space="0" w:color="auto"/>
                    <w:bottom w:val="single" w:sz="4" w:space="0" w:color="auto"/>
                    <w:right w:val="single" w:sz="4" w:space="0" w:color="auto"/>
                  </w:tcBorders>
                </w:tcPr>
                <w:p w14:paraId="3E3938F7"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4 685</w:t>
                  </w:r>
                </w:p>
              </w:tc>
              <w:tc>
                <w:tcPr>
                  <w:tcW w:w="1560" w:type="dxa"/>
                  <w:tcBorders>
                    <w:top w:val="single" w:sz="4" w:space="0" w:color="auto"/>
                    <w:left w:val="single" w:sz="4" w:space="0" w:color="auto"/>
                    <w:bottom w:val="single" w:sz="4" w:space="0" w:color="auto"/>
                    <w:right w:val="single" w:sz="4" w:space="0" w:color="auto"/>
                  </w:tcBorders>
                </w:tcPr>
                <w:p w14:paraId="344B1FEB"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w:t>
                  </w:r>
                </w:p>
              </w:tc>
              <w:tc>
                <w:tcPr>
                  <w:tcW w:w="1134" w:type="dxa"/>
                  <w:tcBorders>
                    <w:top w:val="single" w:sz="4" w:space="0" w:color="auto"/>
                    <w:left w:val="single" w:sz="4" w:space="0" w:color="auto"/>
                    <w:bottom w:val="single" w:sz="4" w:space="0" w:color="auto"/>
                    <w:right w:val="single" w:sz="4" w:space="0" w:color="auto"/>
                  </w:tcBorders>
                </w:tcPr>
                <w:p w14:paraId="41143916" w14:textId="77777777" w:rsidR="0096737A" w:rsidRPr="003761A4" w:rsidRDefault="0096737A" w:rsidP="00C83D7E">
                  <w:pPr>
                    <w:pStyle w:val="Default"/>
                    <w:jc w:val="center"/>
                    <w:rPr>
                      <w:rFonts w:ascii="Times New Roman" w:hAnsi="Times New Roman" w:cs="Times New Roman"/>
                      <w:color w:val="auto"/>
                      <w:sz w:val="22"/>
                    </w:rPr>
                  </w:pPr>
                </w:p>
              </w:tc>
              <w:tc>
                <w:tcPr>
                  <w:tcW w:w="1007" w:type="dxa"/>
                  <w:tcBorders>
                    <w:top w:val="single" w:sz="4" w:space="0" w:color="auto"/>
                    <w:left w:val="single" w:sz="4" w:space="0" w:color="auto"/>
                    <w:bottom w:val="single" w:sz="4" w:space="0" w:color="auto"/>
                    <w:right w:val="single" w:sz="4" w:space="0" w:color="auto"/>
                  </w:tcBorders>
                </w:tcPr>
                <w:p w14:paraId="3FDEDC1B" w14:textId="77777777" w:rsidR="0096737A" w:rsidRPr="003761A4" w:rsidRDefault="0096737A" w:rsidP="00C83D7E">
                  <w:pPr>
                    <w:pStyle w:val="Default"/>
                    <w:jc w:val="center"/>
                    <w:rPr>
                      <w:rFonts w:ascii="Times New Roman" w:hAnsi="Times New Roman" w:cs="Times New Roman"/>
                      <w:color w:val="auto"/>
                      <w:sz w:val="22"/>
                    </w:rPr>
                  </w:pPr>
                </w:p>
              </w:tc>
            </w:tr>
            <w:tr w:rsidR="003761A4" w:rsidRPr="003761A4" w14:paraId="604A5792"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43F5A741" w14:textId="77777777" w:rsidR="0096737A" w:rsidRPr="003761A4" w:rsidRDefault="0096737A" w:rsidP="00C83D7E">
                  <w:pPr>
                    <w:pStyle w:val="Default"/>
                    <w:rPr>
                      <w:rFonts w:ascii="Times New Roman" w:hAnsi="Times New Roman" w:cs="Times New Roman"/>
                      <w:color w:val="auto"/>
                      <w:sz w:val="22"/>
                    </w:rPr>
                  </w:pPr>
                  <w:r w:rsidRPr="003761A4">
                    <w:rPr>
                      <w:rFonts w:ascii="Times New Roman" w:hAnsi="Times New Roman" w:cs="Times New Roman"/>
                      <w:color w:val="auto"/>
                      <w:sz w:val="22"/>
                    </w:rPr>
                    <w:t>передвижные пункты кассовых операций</w:t>
                  </w:r>
                </w:p>
              </w:tc>
              <w:tc>
                <w:tcPr>
                  <w:tcW w:w="1275" w:type="dxa"/>
                  <w:tcBorders>
                    <w:top w:val="single" w:sz="4" w:space="0" w:color="auto"/>
                    <w:left w:val="single" w:sz="4" w:space="0" w:color="auto"/>
                    <w:bottom w:val="single" w:sz="4" w:space="0" w:color="auto"/>
                    <w:right w:val="single" w:sz="4" w:space="0" w:color="auto"/>
                  </w:tcBorders>
                </w:tcPr>
                <w:p w14:paraId="421E3D35"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287</w:t>
                  </w:r>
                </w:p>
              </w:tc>
              <w:tc>
                <w:tcPr>
                  <w:tcW w:w="1560" w:type="dxa"/>
                  <w:tcBorders>
                    <w:top w:val="single" w:sz="4" w:space="0" w:color="auto"/>
                    <w:left w:val="single" w:sz="4" w:space="0" w:color="auto"/>
                    <w:bottom w:val="single" w:sz="4" w:space="0" w:color="auto"/>
                    <w:right w:val="single" w:sz="4" w:space="0" w:color="auto"/>
                  </w:tcBorders>
                </w:tcPr>
                <w:p w14:paraId="1D1EF6DE"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w:t>
                  </w:r>
                </w:p>
              </w:tc>
              <w:tc>
                <w:tcPr>
                  <w:tcW w:w="1134" w:type="dxa"/>
                  <w:tcBorders>
                    <w:top w:val="single" w:sz="4" w:space="0" w:color="auto"/>
                    <w:left w:val="single" w:sz="4" w:space="0" w:color="auto"/>
                    <w:bottom w:val="single" w:sz="4" w:space="0" w:color="auto"/>
                    <w:right w:val="single" w:sz="4" w:space="0" w:color="auto"/>
                  </w:tcBorders>
                </w:tcPr>
                <w:p w14:paraId="47F1699B" w14:textId="77777777" w:rsidR="0096737A" w:rsidRPr="003761A4" w:rsidRDefault="0096737A" w:rsidP="00C83D7E">
                  <w:pPr>
                    <w:pStyle w:val="Default"/>
                    <w:jc w:val="center"/>
                    <w:rPr>
                      <w:rFonts w:ascii="Times New Roman" w:hAnsi="Times New Roman" w:cs="Times New Roman"/>
                      <w:color w:val="auto"/>
                      <w:sz w:val="22"/>
                    </w:rPr>
                  </w:pPr>
                </w:p>
              </w:tc>
              <w:tc>
                <w:tcPr>
                  <w:tcW w:w="1007" w:type="dxa"/>
                  <w:tcBorders>
                    <w:top w:val="single" w:sz="4" w:space="0" w:color="auto"/>
                    <w:left w:val="single" w:sz="4" w:space="0" w:color="auto"/>
                    <w:bottom w:val="single" w:sz="4" w:space="0" w:color="auto"/>
                    <w:right w:val="single" w:sz="4" w:space="0" w:color="auto"/>
                  </w:tcBorders>
                </w:tcPr>
                <w:p w14:paraId="136D39AD" w14:textId="77777777" w:rsidR="0096737A" w:rsidRPr="003761A4" w:rsidRDefault="0096737A" w:rsidP="00C83D7E">
                  <w:pPr>
                    <w:pStyle w:val="Default"/>
                    <w:jc w:val="center"/>
                    <w:rPr>
                      <w:rFonts w:ascii="Times New Roman" w:hAnsi="Times New Roman" w:cs="Times New Roman"/>
                      <w:color w:val="auto"/>
                      <w:sz w:val="22"/>
                    </w:rPr>
                  </w:pPr>
                </w:p>
              </w:tc>
            </w:tr>
            <w:tr w:rsidR="003761A4" w:rsidRPr="003761A4" w14:paraId="5CF651FC"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1F0E5EF2" w14:textId="77777777" w:rsidR="0096737A" w:rsidRPr="003761A4" w:rsidRDefault="0096737A" w:rsidP="00C83D7E">
                  <w:pPr>
                    <w:rPr>
                      <w:rFonts w:ascii="Times New Roman" w:hAnsi="Times New Roman"/>
                      <w:szCs w:val="24"/>
                    </w:rPr>
                  </w:pPr>
                  <w:r w:rsidRPr="003761A4">
                    <w:rPr>
                      <w:rFonts w:ascii="Times New Roman" w:hAnsi="Times New Roman"/>
                      <w:szCs w:val="24"/>
                    </w:rPr>
                    <w:t>Количество действующих кредитных организаций с участием нерезидентов</w:t>
                  </w:r>
                </w:p>
              </w:tc>
              <w:tc>
                <w:tcPr>
                  <w:tcW w:w="1275" w:type="dxa"/>
                  <w:tcBorders>
                    <w:top w:val="single" w:sz="4" w:space="0" w:color="auto"/>
                    <w:left w:val="single" w:sz="4" w:space="0" w:color="auto"/>
                    <w:bottom w:val="single" w:sz="4" w:space="0" w:color="auto"/>
                    <w:right w:val="single" w:sz="4" w:space="0" w:color="auto"/>
                  </w:tcBorders>
                </w:tcPr>
                <w:p w14:paraId="055D3AC4"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115</w:t>
                  </w:r>
                </w:p>
              </w:tc>
              <w:tc>
                <w:tcPr>
                  <w:tcW w:w="1560" w:type="dxa"/>
                  <w:tcBorders>
                    <w:top w:val="single" w:sz="4" w:space="0" w:color="auto"/>
                    <w:left w:val="single" w:sz="4" w:space="0" w:color="auto"/>
                    <w:bottom w:val="single" w:sz="4" w:space="0" w:color="auto"/>
                    <w:right w:val="single" w:sz="4" w:space="0" w:color="auto"/>
                  </w:tcBorders>
                </w:tcPr>
                <w:p w14:paraId="64A4244D"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108</w:t>
                  </w:r>
                </w:p>
              </w:tc>
              <w:tc>
                <w:tcPr>
                  <w:tcW w:w="1134" w:type="dxa"/>
                  <w:tcBorders>
                    <w:top w:val="single" w:sz="4" w:space="0" w:color="auto"/>
                    <w:left w:val="single" w:sz="4" w:space="0" w:color="auto"/>
                    <w:bottom w:val="single" w:sz="4" w:space="0" w:color="auto"/>
                    <w:right w:val="single" w:sz="4" w:space="0" w:color="auto"/>
                  </w:tcBorders>
                </w:tcPr>
                <w:p w14:paraId="08119988"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-7</w:t>
                  </w:r>
                </w:p>
              </w:tc>
              <w:tc>
                <w:tcPr>
                  <w:tcW w:w="1007" w:type="dxa"/>
                  <w:tcBorders>
                    <w:top w:val="single" w:sz="4" w:space="0" w:color="auto"/>
                    <w:left w:val="single" w:sz="4" w:space="0" w:color="auto"/>
                    <w:bottom w:val="single" w:sz="4" w:space="0" w:color="auto"/>
                    <w:right w:val="single" w:sz="4" w:space="0" w:color="auto"/>
                  </w:tcBorders>
                </w:tcPr>
                <w:p w14:paraId="263BBE0A"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-6,09</w:t>
                  </w:r>
                </w:p>
              </w:tc>
            </w:tr>
            <w:tr w:rsidR="003761A4" w:rsidRPr="003761A4" w14:paraId="5EB7A614"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70B40DE8" w14:textId="77777777" w:rsidR="0096737A" w:rsidRPr="003761A4" w:rsidRDefault="0096737A" w:rsidP="00C83D7E">
                  <w:pPr>
                    <w:rPr>
                      <w:rFonts w:ascii="Times New Roman" w:hAnsi="Times New Roman"/>
                      <w:szCs w:val="24"/>
                    </w:rPr>
                  </w:pPr>
                  <w:r w:rsidRPr="003761A4">
                    <w:rPr>
                      <w:rFonts w:ascii="Times New Roman" w:hAnsi="Times New Roman"/>
                      <w:szCs w:val="24"/>
                    </w:rPr>
                    <w:t>Количество действующих кредитных</w:t>
                  </w:r>
                </w:p>
                <w:p w14:paraId="4686638F" w14:textId="77777777" w:rsidR="0096737A" w:rsidRPr="003761A4" w:rsidRDefault="0096737A" w:rsidP="00C83D7E">
                  <w:pPr>
                    <w:rPr>
                      <w:rFonts w:ascii="Times New Roman" w:hAnsi="Times New Roman"/>
                      <w:szCs w:val="24"/>
                    </w:rPr>
                  </w:pPr>
                  <w:r w:rsidRPr="003761A4">
                    <w:rPr>
                      <w:rFonts w:ascii="Times New Roman" w:hAnsi="Times New Roman"/>
                      <w:szCs w:val="24"/>
                    </w:rPr>
                    <w:t>организаций с долей нерезидентов в уставном капитале более 50%</w:t>
                  </w:r>
                </w:p>
              </w:tc>
              <w:tc>
                <w:tcPr>
                  <w:tcW w:w="1275" w:type="dxa"/>
                  <w:tcBorders>
                    <w:top w:val="single" w:sz="4" w:space="0" w:color="auto"/>
                    <w:left w:val="single" w:sz="4" w:space="0" w:color="auto"/>
                    <w:bottom w:val="single" w:sz="4" w:space="0" w:color="auto"/>
                    <w:right w:val="single" w:sz="4" w:space="0" w:color="auto"/>
                  </w:tcBorders>
                </w:tcPr>
                <w:p w14:paraId="2CA63C8B"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66</w:t>
                  </w:r>
                </w:p>
              </w:tc>
              <w:tc>
                <w:tcPr>
                  <w:tcW w:w="1560" w:type="dxa"/>
                  <w:tcBorders>
                    <w:top w:val="single" w:sz="4" w:space="0" w:color="auto"/>
                    <w:left w:val="single" w:sz="4" w:space="0" w:color="auto"/>
                    <w:bottom w:val="single" w:sz="4" w:space="0" w:color="auto"/>
                    <w:right w:val="single" w:sz="4" w:space="0" w:color="auto"/>
                  </w:tcBorders>
                </w:tcPr>
                <w:p w14:paraId="006D60F0"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60</w:t>
                  </w:r>
                </w:p>
              </w:tc>
              <w:tc>
                <w:tcPr>
                  <w:tcW w:w="1134" w:type="dxa"/>
                  <w:tcBorders>
                    <w:top w:val="single" w:sz="4" w:space="0" w:color="auto"/>
                    <w:left w:val="single" w:sz="4" w:space="0" w:color="auto"/>
                    <w:bottom w:val="single" w:sz="4" w:space="0" w:color="auto"/>
                    <w:right w:val="single" w:sz="4" w:space="0" w:color="auto"/>
                  </w:tcBorders>
                </w:tcPr>
                <w:p w14:paraId="7F2C92C1"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-6</w:t>
                  </w:r>
                </w:p>
              </w:tc>
              <w:tc>
                <w:tcPr>
                  <w:tcW w:w="1007" w:type="dxa"/>
                  <w:tcBorders>
                    <w:top w:val="single" w:sz="4" w:space="0" w:color="auto"/>
                    <w:left w:val="single" w:sz="4" w:space="0" w:color="auto"/>
                    <w:bottom w:val="single" w:sz="4" w:space="0" w:color="auto"/>
                    <w:right w:val="single" w:sz="4" w:space="0" w:color="auto"/>
                  </w:tcBorders>
                </w:tcPr>
                <w:p w14:paraId="6C06DF76"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-9,09</w:t>
                  </w:r>
                </w:p>
              </w:tc>
            </w:tr>
            <w:tr w:rsidR="003761A4" w:rsidRPr="003761A4" w14:paraId="4B3E0357"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466B42FA" w14:textId="77777777" w:rsidR="0096737A" w:rsidRPr="003761A4" w:rsidRDefault="0096737A" w:rsidP="00C83D7E">
                  <w:pPr>
                    <w:rPr>
                      <w:rFonts w:ascii="Times New Roman" w:hAnsi="Times New Roman"/>
                      <w:szCs w:val="24"/>
                    </w:rPr>
                  </w:pPr>
                  <w:r w:rsidRPr="003761A4">
                    <w:rPr>
                      <w:rFonts w:ascii="Times New Roman" w:hAnsi="Times New Roman"/>
                      <w:szCs w:val="24"/>
                    </w:rPr>
                    <w:t>Доля нерезидентов в совокупном</w:t>
                  </w:r>
                </w:p>
                <w:p w14:paraId="1BF55860" w14:textId="77777777" w:rsidR="0096737A" w:rsidRPr="003761A4" w:rsidRDefault="0096737A" w:rsidP="00C83D7E">
                  <w:pPr>
                    <w:rPr>
                      <w:rFonts w:ascii="Times New Roman" w:hAnsi="Times New Roman"/>
                      <w:szCs w:val="24"/>
                    </w:rPr>
                  </w:pPr>
                  <w:r w:rsidRPr="003761A4">
                    <w:rPr>
                      <w:rFonts w:ascii="Times New Roman" w:hAnsi="Times New Roman"/>
                      <w:szCs w:val="24"/>
                    </w:rPr>
                    <w:t>зарегистрированном уставном фонде (капитале) банковской системы (в процентах)</w:t>
                  </w:r>
                </w:p>
              </w:tc>
              <w:tc>
                <w:tcPr>
                  <w:tcW w:w="1275" w:type="dxa"/>
                  <w:tcBorders>
                    <w:top w:val="single" w:sz="4" w:space="0" w:color="auto"/>
                    <w:left w:val="single" w:sz="4" w:space="0" w:color="auto"/>
                    <w:bottom w:val="single" w:sz="4" w:space="0" w:color="auto"/>
                    <w:right w:val="single" w:sz="4" w:space="0" w:color="auto"/>
                  </w:tcBorders>
                </w:tcPr>
                <w:p w14:paraId="2E4C0F67"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14,31</w:t>
                  </w:r>
                </w:p>
              </w:tc>
              <w:tc>
                <w:tcPr>
                  <w:tcW w:w="1560" w:type="dxa"/>
                  <w:tcBorders>
                    <w:top w:val="single" w:sz="4" w:space="0" w:color="auto"/>
                    <w:left w:val="single" w:sz="4" w:space="0" w:color="auto"/>
                    <w:bottom w:val="single" w:sz="4" w:space="0" w:color="auto"/>
                    <w:right w:val="single" w:sz="4" w:space="0" w:color="auto"/>
                  </w:tcBorders>
                </w:tcPr>
                <w:p w14:paraId="36F7A28F"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12,10</w:t>
                  </w:r>
                </w:p>
              </w:tc>
              <w:tc>
                <w:tcPr>
                  <w:tcW w:w="1134" w:type="dxa"/>
                  <w:tcBorders>
                    <w:top w:val="single" w:sz="4" w:space="0" w:color="auto"/>
                    <w:left w:val="single" w:sz="4" w:space="0" w:color="auto"/>
                    <w:bottom w:val="single" w:sz="4" w:space="0" w:color="auto"/>
                    <w:right w:val="single" w:sz="4" w:space="0" w:color="auto"/>
                  </w:tcBorders>
                </w:tcPr>
                <w:p w14:paraId="55240E02" w14:textId="77777777" w:rsidR="0096737A" w:rsidRPr="003761A4" w:rsidRDefault="0096737A" w:rsidP="00C83D7E">
                  <w:pPr>
                    <w:pStyle w:val="Default"/>
                    <w:jc w:val="center"/>
                    <w:rPr>
                      <w:rFonts w:ascii="Times New Roman" w:hAnsi="Times New Roman" w:cs="Times New Roman"/>
                      <w:color w:val="auto"/>
                      <w:sz w:val="22"/>
                      <w:lang w:val="en-US"/>
                    </w:rPr>
                  </w:pPr>
                  <w:r w:rsidRPr="003761A4">
                    <w:rPr>
                      <w:rFonts w:ascii="Times New Roman" w:hAnsi="Times New Roman" w:cs="Times New Roman"/>
                      <w:color w:val="auto"/>
                      <w:sz w:val="22"/>
                    </w:rPr>
                    <w:t>-2,21</w:t>
                  </w:r>
                  <w:r w:rsidRPr="003761A4">
                    <w:rPr>
                      <w:rFonts w:ascii="Times New Roman" w:hAnsi="Times New Roman" w:cs="Times New Roman"/>
                      <w:color w:val="auto"/>
                      <w:sz w:val="22"/>
                      <w:lang w:val="en-US"/>
                    </w:rPr>
                    <w:t>*</w:t>
                  </w:r>
                </w:p>
              </w:tc>
              <w:tc>
                <w:tcPr>
                  <w:tcW w:w="1007" w:type="dxa"/>
                  <w:tcBorders>
                    <w:top w:val="single" w:sz="4" w:space="0" w:color="auto"/>
                    <w:left w:val="single" w:sz="4" w:space="0" w:color="auto"/>
                    <w:bottom w:val="single" w:sz="4" w:space="0" w:color="auto"/>
                    <w:right w:val="single" w:sz="4" w:space="0" w:color="auto"/>
                  </w:tcBorders>
                </w:tcPr>
                <w:p w14:paraId="633A3632" w14:textId="77777777" w:rsidR="0096737A" w:rsidRPr="003761A4" w:rsidRDefault="0096737A" w:rsidP="00C83D7E">
                  <w:pPr>
                    <w:pStyle w:val="Default"/>
                    <w:jc w:val="center"/>
                    <w:rPr>
                      <w:rFonts w:ascii="Times New Roman" w:hAnsi="Times New Roman" w:cs="Times New Roman"/>
                      <w:color w:val="auto"/>
                      <w:sz w:val="22"/>
                    </w:rPr>
                  </w:pPr>
                </w:p>
              </w:tc>
            </w:tr>
            <w:tr w:rsidR="003761A4" w:rsidRPr="003761A4" w14:paraId="0BB379D7"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2512FF04" w14:textId="77777777" w:rsidR="0096737A" w:rsidRPr="003761A4" w:rsidRDefault="0096737A" w:rsidP="00C83D7E">
                  <w:pPr>
                    <w:rPr>
                      <w:rFonts w:ascii="Times New Roman" w:hAnsi="Times New Roman"/>
                      <w:szCs w:val="24"/>
                    </w:rPr>
                  </w:pPr>
                  <w:r w:rsidRPr="003761A4">
                    <w:rPr>
                      <w:rFonts w:ascii="Times New Roman" w:hAnsi="Times New Roman"/>
                      <w:szCs w:val="24"/>
                    </w:rPr>
                    <w:t>Инвестиции нерезидентов в уставные капиталы действующих кредитных организаций (</w:t>
                  </w:r>
                  <w:proofErr w:type="spellStart"/>
                  <w:r w:rsidRPr="003761A4">
                    <w:rPr>
                      <w:rFonts w:ascii="Times New Roman" w:hAnsi="Times New Roman"/>
                      <w:szCs w:val="24"/>
                    </w:rPr>
                    <w:t>млрд.руб</w:t>
                  </w:r>
                  <w:proofErr w:type="spellEnd"/>
                  <w:r w:rsidRPr="003761A4">
                    <w:rPr>
                      <w:rFonts w:ascii="Times New Roman" w:hAnsi="Times New Roman"/>
                      <w:szCs w:val="24"/>
                    </w:rPr>
                    <w:t>.)</w:t>
                  </w:r>
                </w:p>
              </w:tc>
              <w:tc>
                <w:tcPr>
                  <w:tcW w:w="1275" w:type="dxa"/>
                  <w:tcBorders>
                    <w:top w:val="single" w:sz="4" w:space="0" w:color="auto"/>
                    <w:left w:val="single" w:sz="4" w:space="0" w:color="auto"/>
                    <w:bottom w:val="single" w:sz="4" w:space="0" w:color="auto"/>
                    <w:right w:val="single" w:sz="4" w:space="0" w:color="auto"/>
                  </w:tcBorders>
                </w:tcPr>
                <w:p w14:paraId="64CE1132"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412,9</w:t>
                  </w:r>
                </w:p>
              </w:tc>
              <w:tc>
                <w:tcPr>
                  <w:tcW w:w="1560" w:type="dxa"/>
                  <w:tcBorders>
                    <w:top w:val="single" w:sz="4" w:space="0" w:color="auto"/>
                    <w:left w:val="single" w:sz="4" w:space="0" w:color="auto"/>
                    <w:bottom w:val="single" w:sz="4" w:space="0" w:color="auto"/>
                    <w:right w:val="single" w:sz="4" w:space="0" w:color="auto"/>
                  </w:tcBorders>
                </w:tcPr>
                <w:p w14:paraId="507695B6"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368,6</w:t>
                  </w:r>
                </w:p>
              </w:tc>
              <w:tc>
                <w:tcPr>
                  <w:tcW w:w="1134" w:type="dxa"/>
                  <w:tcBorders>
                    <w:top w:val="single" w:sz="4" w:space="0" w:color="auto"/>
                    <w:left w:val="single" w:sz="4" w:space="0" w:color="auto"/>
                    <w:bottom w:val="single" w:sz="4" w:space="0" w:color="auto"/>
                    <w:right w:val="single" w:sz="4" w:space="0" w:color="auto"/>
                  </w:tcBorders>
                </w:tcPr>
                <w:p w14:paraId="705A4C31"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-44,3</w:t>
                  </w:r>
                </w:p>
              </w:tc>
              <w:tc>
                <w:tcPr>
                  <w:tcW w:w="1007" w:type="dxa"/>
                  <w:tcBorders>
                    <w:top w:val="single" w:sz="4" w:space="0" w:color="auto"/>
                    <w:left w:val="single" w:sz="4" w:space="0" w:color="auto"/>
                    <w:bottom w:val="single" w:sz="4" w:space="0" w:color="auto"/>
                    <w:right w:val="single" w:sz="4" w:space="0" w:color="auto"/>
                  </w:tcBorders>
                </w:tcPr>
                <w:p w14:paraId="5329F547"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-10,73</w:t>
                  </w:r>
                </w:p>
              </w:tc>
            </w:tr>
            <w:tr w:rsidR="003761A4" w:rsidRPr="003761A4" w14:paraId="47844C62"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7F55E6CC" w14:textId="77777777" w:rsidR="0096737A" w:rsidRPr="003761A4" w:rsidRDefault="0096737A" w:rsidP="00C83D7E">
                  <w:pPr>
                    <w:rPr>
                      <w:rFonts w:ascii="Times New Roman" w:hAnsi="Times New Roman"/>
                      <w:szCs w:val="24"/>
                    </w:rPr>
                  </w:pPr>
                  <w:r w:rsidRPr="003761A4">
                    <w:rPr>
                      <w:rFonts w:ascii="Times New Roman" w:hAnsi="Times New Roman"/>
                      <w:szCs w:val="24"/>
                    </w:rPr>
                    <w:t>Размер участия иностранного капитала в совокупном уставном капитале действующих кредитных организаций (%)</w:t>
                  </w:r>
                </w:p>
              </w:tc>
              <w:tc>
                <w:tcPr>
                  <w:tcW w:w="1275" w:type="dxa"/>
                  <w:tcBorders>
                    <w:top w:val="single" w:sz="4" w:space="0" w:color="auto"/>
                    <w:left w:val="single" w:sz="4" w:space="0" w:color="auto"/>
                    <w:bottom w:val="single" w:sz="4" w:space="0" w:color="auto"/>
                    <w:right w:val="single" w:sz="4" w:space="0" w:color="auto"/>
                  </w:tcBorders>
                </w:tcPr>
                <w:p w14:paraId="1D841B12"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10,73</w:t>
                  </w:r>
                </w:p>
              </w:tc>
              <w:tc>
                <w:tcPr>
                  <w:tcW w:w="1560" w:type="dxa"/>
                  <w:tcBorders>
                    <w:top w:val="single" w:sz="4" w:space="0" w:color="auto"/>
                    <w:left w:val="single" w:sz="4" w:space="0" w:color="auto"/>
                    <w:bottom w:val="single" w:sz="4" w:space="0" w:color="auto"/>
                    <w:right w:val="single" w:sz="4" w:space="0" w:color="auto"/>
                  </w:tcBorders>
                </w:tcPr>
                <w:p w14:paraId="700F37DC"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8,97</w:t>
                  </w:r>
                </w:p>
              </w:tc>
              <w:tc>
                <w:tcPr>
                  <w:tcW w:w="1134" w:type="dxa"/>
                  <w:tcBorders>
                    <w:top w:val="single" w:sz="4" w:space="0" w:color="auto"/>
                    <w:left w:val="single" w:sz="4" w:space="0" w:color="auto"/>
                    <w:bottom w:val="single" w:sz="4" w:space="0" w:color="auto"/>
                    <w:right w:val="single" w:sz="4" w:space="0" w:color="auto"/>
                  </w:tcBorders>
                </w:tcPr>
                <w:p w14:paraId="12DEE737" w14:textId="77777777" w:rsidR="0096737A" w:rsidRPr="003761A4" w:rsidRDefault="0096737A" w:rsidP="00C83D7E">
                  <w:pPr>
                    <w:pStyle w:val="Default"/>
                    <w:jc w:val="center"/>
                    <w:rPr>
                      <w:rFonts w:ascii="Times New Roman" w:hAnsi="Times New Roman" w:cs="Times New Roman"/>
                      <w:color w:val="auto"/>
                      <w:sz w:val="22"/>
                      <w:lang w:val="en-US"/>
                    </w:rPr>
                  </w:pPr>
                  <w:r w:rsidRPr="003761A4">
                    <w:rPr>
                      <w:rFonts w:ascii="Times New Roman" w:hAnsi="Times New Roman" w:cs="Times New Roman"/>
                      <w:color w:val="auto"/>
                      <w:sz w:val="22"/>
                    </w:rPr>
                    <w:t>-1,76</w:t>
                  </w:r>
                  <w:r w:rsidRPr="003761A4">
                    <w:rPr>
                      <w:rFonts w:ascii="Times New Roman" w:hAnsi="Times New Roman" w:cs="Times New Roman"/>
                      <w:color w:val="auto"/>
                      <w:sz w:val="22"/>
                      <w:lang w:val="en-US"/>
                    </w:rPr>
                    <w:t>*</w:t>
                  </w:r>
                </w:p>
              </w:tc>
              <w:tc>
                <w:tcPr>
                  <w:tcW w:w="1007" w:type="dxa"/>
                  <w:tcBorders>
                    <w:top w:val="single" w:sz="4" w:space="0" w:color="auto"/>
                    <w:left w:val="single" w:sz="4" w:space="0" w:color="auto"/>
                    <w:bottom w:val="single" w:sz="4" w:space="0" w:color="auto"/>
                    <w:right w:val="single" w:sz="4" w:space="0" w:color="auto"/>
                  </w:tcBorders>
                </w:tcPr>
                <w:p w14:paraId="0C58D8DD" w14:textId="77777777" w:rsidR="0096737A" w:rsidRPr="003761A4" w:rsidRDefault="0096737A" w:rsidP="00C83D7E">
                  <w:pPr>
                    <w:pStyle w:val="Default"/>
                    <w:jc w:val="center"/>
                    <w:rPr>
                      <w:rFonts w:ascii="Times New Roman" w:hAnsi="Times New Roman" w:cs="Times New Roman"/>
                      <w:color w:val="auto"/>
                      <w:sz w:val="22"/>
                    </w:rPr>
                  </w:pPr>
                </w:p>
              </w:tc>
            </w:tr>
            <w:tr w:rsidR="003761A4" w:rsidRPr="003761A4" w14:paraId="46BEDF7E"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39732AFC" w14:textId="77777777" w:rsidR="0096737A" w:rsidRPr="003761A4" w:rsidRDefault="0096737A" w:rsidP="00C83D7E">
                  <w:pPr>
                    <w:rPr>
                      <w:rFonts w:ascii="Times New Roman" w:hAnsi="Times New Roman"/>
                      <w:szCs w:val="24"/>
                    </w:rPr>
                  </w:pPr>
                  <w:r w:rsidRPr="003761A4">
                    <w:rPr>
                      <w:rFonts w:ascii="Times New Roman" w:hAnsi="Times New Roman"/>
                      <w:szCs w:val="24"/>
                    </w:rPr>
                    <w:t>Аккредитовано представительств иностранных КО,</w:t>
                  </w:r>
                </w:p>
              </w:tc>
              <w:tc>
                <w:tcPr>
                  <w:tcW w:w="1275" w:type="dxa"/>
                  <w:tcBorders>
                    <w:top w:val="single" w:sz="4" w:space="0" w:color="auto"/>
                    <w:left w:val="single" w:sz="4" w:space="0" w:color="auto"/>
                    <w:bottom w:val="single" w:sz="4" w:space="0" w:color="auto"/>
                    <w:right w:val="single" w:sz="4" w:space="0" w:color="auto"/>
                  </w:tcBorders>
                </w:tcPr>
                <w:p w14:paraId="1244E828" w14:textId="77777777" w:rsidR="0096737A" w:rsidRPr="003761A4" w:rsidRDefault="0096737A" w:rsidP="00C83D7E">
                  <w:pPr>
                    <w:jc w:val="center"/>
                    <w:rPr>
                      <w:rFonts w:ascii="Times New Roman" w:hAnsi="Times New Roman"/>
                      <w:szCs w:val="24"/>
                    </w:rPr>
                  </w:pPr>
                  <w:r w:rsidRPr="003761A4">
                    <w:rPr>
                      <w:rFonts w:ascii="Times New Roman" w:hAnsi="Times New Roman"/>
                      <w:szCs w:val="24"/>
                    </w:rPr>
                    <w:t>37</w:t>
                  </w:r>
                </w:p>
                <w:p w14:paraId="788AFB81" w14:textId="77777777" w:rsidR="0096737A" w:rsidRPr="003761A4" w:rsidRDefault="0096737A" w:rsidP="00C83D7E">
                  <w:pPr>
                    <w:pStyle w:val="Default"/>
                    <w:jc w:val="center"/>
                    <w:rPr>
                      <w:rFonts w:ascii="Times New Roman" w:hAnsi="Times New Roman" w:cs="Times New Roman"/>
                      <w:color w:val="auto"/>
                      <w:sz w:val="22"/>
                    </w:rPr>
                  </w:pPr>
                </w:p>
              </w:tc>
              <w:tc>
                <w:tcPr>
                  <w:tcW w:w="1560" w:type="dxa"/>
                  <w:tcBorders>
                    <w:top w:val="single" w:sz="4" w:space="0" w:color="auto"/>
                    <w:left w:val="single" w:sz="4" w:space="0" w:color="auto"/>
                    <w:bottom w:val="single" w:sz="4" w:space="0" w:color="auto"/>
                    <w:right w:val="single" w:sz="4" w:space="0" w:color="auto"/>
                  </w:tcBorders>
                </w:tcPr>
                <w:p w14:paraId="06DF6DD1"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28</w:t>
                  </w:r>
                </w:p>
              </w:tc>
              <w:tc>
                <w:tcPr>
                  <w:tcW w:w="1134" w:type="dxa"/>
                  <w:tcBorders>
                    <w:top w:val="single" w:sz="4" w:space="0" w:color="auto"/>
                    <w:left w:val="single" w:sz="4" w:space="0" w:color="auto"/>
                    <w:bottom w:val="single" w:sz="4" w:space="0" w:color="auto"/>
                    <w:right w:val="single" w:sz="4" w:space="0" w:color="auto"/>
                  </w:tcBorders>
                </w:tcPr>
                <w:p w14:paraId="44849868"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-9</w:t>
                  </w:r>
                </w:p>
              </w:tc>
              <w:tc>
                <w:tcPr>
                  <w:tcW w:w="1007" w:type="dxa"/>
                  <w:tcBorders>
                    <w:top w:val="single" w:sz="4" w:space="0" w:color="auto"/>
                    <w:left w:val="single" w:sz="4" w:space="0" w:color="auto"/>
                    <w:bottom w:val="single" w:sz="4" w:space="0" w:color="auto"/>
                    <w:right w:val="single" w:sz="4" w:space="0" w:color="auto"/>
                  </w:tcBorders>
                </w:tcPr>
                <w:p w14:paraId="2DD7B170"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-24,32</w:t>
                  </w:r>
                </w:p>
              </w:tc>
            </w:tr>
            <w:tr w:rsidR="003761A4" w:rsidRPr="003761A4" w14:paraId="5C52F3AC"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2390BB65" w14:textId="77777777" w:rsidR="0096737A" w:rsidRPr="003761A4" w:rsidRDefault="0096737A" w:rsidP="00C83D7E">
                  <w:pPr>
                    <w:rPr>
                      <w:rFonts w:ascii="Times New Roman" w:hAnsi="Times New Roman"/>
                      <w:szCs w:val="24"/>
                    </w:rPr>
                  </w:pPr>
                  <w:r w:rsidRPr="003761A4">
                    <w:rPr>
                      <w:rFonts w:ascii="Times New Roman" w:hAnsi="Times New Roman"/>
                      <w:szCs w:val="24"/>
                    </w:rPr>
                    <w:t>в том числе за год:</w:t>
                  </w:r>
                </w:p>
              </w:tc>
              <w:tc>
                <w:tcPr>
                  <w:tcW w:w="1275" w:type="dxa"/>
                  <w:tcBorders>
                    <w:top w:val="single" w:sz="4" w:space="0" w:color="auto"/>
                    <w:left w:val="single" w:sz="4" w:space="0" w:color="auto"/>
                    <w:bottom w:val="single" w:sz="4" w:space="0" w:color="auto"/>
                    <w:right w:val="single" w:sz="4" w:space="0" w:color="auto"/>
                  </w:tcBorders>
                </w:tcPr>
                <w:p w14:paraId="0271C446" w14:textId="77777777" w:rsidR="0096737A" w:rsidRPr="003761A4" w:rsidRDefault="0096737A" w:rsidP="00C83D7E">
                  <w:pPr>
                    <w:jc w:val="center"/>
                    <w:rPr>
                      <w:rFonts w:ascii="Times New Roman" w:hAnsi="Times New Roman"/>
                      <w:szCs w:val="24"/>
                    </w:rPr>
                  </w:pPr>
                </w:p>
              </w:tc>
              <w:tc>
                <w:tcPr>
                  <w:tcW w:w="1560" w:type="dxa"/>
                  <w:tcBorders>
                    <w:top w:val="single" w:sz="4" w:space="0" w:color="auto"/>
                    <w:left w:val="single" w:sz="4" w:space="0" w:color="auto"/>
                    <w:bottom w:val="single" w:sz="4" w:space="0" w:color="auto"/>
                    <w:right w:val="single" w:sz="4" w:space="0" w:color="auto"/>
                  </w:tcBorders>
                </w:tcPr>
                <w:p w14:paraId="618355D8" w14:textId="77777777" w:rsidR="0096737A" w:rsidRPr="003761A4" w:rsidRDefault="0096737A" w:rsidP="00C83D7E">
                  <w:pPr>
                    <w:pStyle w:val="Default"/>
                    <w:jc w:val="center"/>
                    <w:rPr>
                      <w:rFonts w:ascii="Times New Roman" w:hAnsi="Times New Roman" w:cs="Times New Roman"/>
                      <w:color w:val="auto"/>
                      <w:sz w:val="22"/>
                    </w:rPr>
                  </w:pPr>
                </w:p>
              </w:tc>
              <w:tc>
                <w:tcPr>
                  <w:tcW w:w="1134" w:type="dxa"/>
                  <w:tcBorders>
                    <w:top w:val="single" w:sz="4" w:space="0" w:color="auto"/>
                    <w:left w:val="single" w:sz="4" w:space="0" w:color="auto"/>
                    <w:bottom w:val="single" w:sz="4" w:space="0" w:color="auto"/>
                    <w:right w:val="single" w:sz="4" w:space="0" w:color="auto"/>
                  </w:tcBorders>
                </w:tcPr>
                <w:p w14:paraId="068123F4" w14:textId="77777777" w:rsidR="0096737A" w:rsidRPr="003761A4" w:rsidRDefault="0096737A" w:rsidP="00C83D7E">
                  <w:pPr>
                    <w:pStyle w:val="Default"/>
                    <w:jc w:val="center"/>
                    <w:rPr>
                      <w:rFonts w:ascii="Times New Roman" w:hAnsi="Times New Roman" w:cs="Times New Roman"/>
                      <w:color w:val="auto"/>
                      <w:sz w:val="22"/>
                    </w:rPr>
                  </w:pPr>
                </w:p>
              </w:tc>
              <w:tc>
                <w:tcPr>
                  <w:tcW w:w="1007" w:type="dxa"/>
                  <w:tcBorders>
                    <w:top w:val="single" w:sz="4" w:space="0" w:color="auto"/>
                    <w:left w:val="single" w:sz="4" w:space="0" w:color="auto"/>
                    <w:bottom w:val="single" w:sz="4" w:space="0" w:color="auto"/>
                    <w:right w:val="single" w:sz="4" w:space="0" w:color="auto"/>
                  </w:tcBorders>
                </w:tcPr>
                <w:p w14:paraId="234D0203" w14:textId="77777777" w:rsidR="0096737A" w:rsidRPr="003761A4" w:rsidRDefault="0096737A" w:rsidP="00C83D7E">
                  <w:pPr>
                    <w:pStyle w:val="Default"/>
                    <w:jc w:val="center"/>
                    <w:rPr>
                      <w:rFonts w:ascii="Times New Roman" w:hAnsi="Times New Roman" w:cs="Times New Roman"/>
                      <w:color w:val="auto"/>
                      <w:sz w:val="22"/>
                    </w:rPr>
                  </w:pPr>
                </w:p>
              </w:tc>
            </w:tr>
            <w:tr w:rsidR="003761A4" w:rsidRPr="003761A4" w14:paraId="57612DCB"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755AEB5E" w14:textId="77777777" w:rsidR="0096737A" w:rsidRPr="003761A4" w:rsidRDefault="0096737A" w:rsidP="00C83D7E">
                  <w:pPr>
                    <w:rPr>
                      <w:rFonts w:ascii="Times New Roman" w:hAnsi="Times New Roman"/>
                      <w:szCs w:val="24"/>
                    </w:rPr>
                  </w:pPr>
                  <w:r w:rsidRPr="003761A4">
                    <w:rPr>
                      <w:rFonts w:ascii="Times New Roman" w:hAnsi="Times New Roman"/>
                      <w:szCs w:val="24"/>
                    </w:rPr>
                    <w:t>аккредитовано представительств</w:t>
                  </w:r>
                </w:p>
              </w:tc>
              <w:tc>
                <w:tcPr>
                  <w:tcW w:w="1275" w:type="dxa"/>
                  <w:tcBorders>
                    <w:top w:val="single" w:sz="4" w:space="0" w:color="auto"/>
                    <w:left w:val="single" w:sz="4" w:space="0" w:color="auto"/>
                    <w:bottom w:val="single" w:sz="4" w:space="0" w:color="auto"/>
                    <w:right w:val="single" w:sz="4" w:space="0" w:color="auto"/>
                  </w:tcBorders>
                </w:tcPr>
                <w:p w14:paraId="3C0465D7" w14:textId="77777777" w:rsidR="0096737A" w:rsidRPr="003761A4" w:rsidRDefault="0096737A" w:rsidP="00C83D7E">
                  <w:pPr>
                    <w:jc w:val="center"/>
                    <w:rPr>
                      <w:rFonts w:ascii="Times New Roman" w:hAnsi="Times New Roman"/>
                      <w:szCs w:val="24"/>
                    </w:rPr>
                  </w:pPr>
                  <w:r w:rsidRPr="003761A4">
                    <w:rPr>
                      <w:rFonts w:ascii="Times New Roman" w:hAnsi="Times New Roman"/>
                      <w:szCs w:val="24"/>
                    </w:rPr>
                    <w:t>1</w:t>
                  </w:r>
                </w:p>
              </w:tc>
              <w:tc>
                <w:tcPr>
                  <w:tcW w:w="1560" w:type="dxa"/>
                  <w:tcBorders>
                    <w:top w:val="single" w:sz="4" w:space="0" w:color="auto"/>
                    <w:left w:val="single" w:sz="4" w:space="0" w:color="auto"/>
                    <w:bottom w:val="single" w:sz="4" w:space="0" w:color="auto"/>
                    <w:right w:val="single" w:sz="4" w:space="0" w:color="auto"/>
                  </w:tcBorders>
                </w:tcPr>
                <w:p w14:paraId="0FC3CA24"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w:t>
                  </w:r>
                </w:p>
              </w:tc>
              <w:tc>
                <w:tcPr>
                  <w:tcW w:w="1134" w:type="dxa"/>
                  <w:tcBorders>
                    <w:top w:val="single" w:sz="4" w:space="0" w:color="auto"/>
                    <w:left w:val="single" w:sz="4" w:space="0" w:color="auto"/>
                    <w:bottom w:val="single" w:sz="4" w:space="0" w:color="auto"/>
                    <w:right w:val="single" w:sz="4" w:space="0" w:color="auto"/>
                  </w:tcBorders>
                </w:tcPr>
                <w:p w14:paraId="652E832B" w14:textId="77777777" w:rsidR="0096737A" w:rsidRPr="003761A4" w:rsidRDefault="0096737A" w:rsidP="00C83D7E">
                  <w:pPr>
                    <w:pStyle w:val="Default"/>
                    <w:jc w:val="center"/>
                    <w:rPr>
                      <w:rFonts w:ascii="Times New Roman" w:hAnsi="Times New Roman" w:cs="Times New Roman"/>
                      <w:color w:val="auto"/>
                      <w:sz w:val="22"/>
                    </w:rPr>
                  </w:pPr>
                </w:p>
              </w:tc>
              <w:tc>
                <w:tcPr>
                  <w:tcW w:w="1007" w:type="dxa"/>
                  <w:tcBorders>
                    <w:top w:val="single" w:sz="4" w:space="0" w:color="auto"/>
                    <w:left w:val="single" w:sz="4" w:space="0" w:color="auto"/>
                    <w:bottom w:val="single" w:sz="4" w:space="0" w:color="auto"/>
                    <w:right w:val="single" w:sz="4" w:space="0" w:color="auto"/>
                  </w:tcBorders>
                </w:tcPr>
                <w:p w14:paraId="446AFC63" w14:textId="77777777" w:rsidR="0096737A" w:rsidRPr="003761A4" w:rsidRDefault="0096737A" w:rsidP="00C83D7E">
                  <w:pPr>
                    <w:pStyle w:val="Default"/>
                    <w:jc w:val="center"/>
                    <w:rPr>
                      <w:rFonts w:ascii="Times New Roman" w:hAnsi="Times New Roman" w:cs="Times New Roman"/>
                      <w:color w:val="auto"/>
                      <w:sz w:val="22"/>
                    </w:rPr>
                  </w:pPr>
                </w:p>
              </w:tc>
            </w:tr>
            <w:tr w:rsidR="003761A4" w:rsidRPr="003761A4" w14:paraId="4BAFBEAD"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462697B1" w14:textId="77777777" w:rsidR="0096737A" w:rsidRPr="003761A4" w:rsidRDefault="0096737A" w:rsidP="00C83D7E">
                  <w:pPr>
                    <w:rPr>
                      <w:rFonts w:ascii="Times New Roman" w:hAnsi="Times New Roman"/>
                      <w:szCs w:val="24"/>
                    </w:rPr>
                  </w:pPr>
                  <w:r w:rsidRPr="003761A4">
                    <w:rPr>
                      <w:rFonts w:ascii="Times New Roman" w:hAnsi="Times New Roman"/>
                      <w:szCs w:val="24"/>
                    </w:rPr>
                    <w:t>продлен срок действия аккредитации</w:t>
                  </w:r>
                </w:p>
                <w:p w14:paraId="51963E10" w14:textId="77777777" w:rsidR="0096737A" w:rsidRPr="003761A4" w:rsidRDefault="0096737A" w:rsidP="00C83D7E">
                  <w:pPr>
                    <w:rPr>
                      <w:rFonts w:ascii="Times New Roman" w:hAnsi="Times New Roman"/>
                      <w:szCs w:val="24"/>
                    </w:rPr>
                  </w:pPr>
                  <w:r w:rsidRPr="003761A4">
                    <w:rPr>
                      <w:rFonts w:ascii="Times New Roman" w:hAnsi="Times New Roman"/>
                      <w:szCs w:val="24"/>
                    </w:rPr>
                    <w:t>представительств</w:t>
                  </w:r>
                </w:p>
              </w:tc>
              <w:tc>
                <w:tcPr>
                  <w:tcW w:w="1275" w:type="dxa"/>
                  <w:tcBorders>
                    <w:top w:val="single" w:sz="4" w:space="0" w:color="auto"/>
                    <w:left w:val="single" w:sz="4" w:space="0" w:color="auto"/>
                    <w:bottom w:val="single" w:sz="4" w:space="0" w:color="auto"/>
                    <w:right w:val="single" w:sz="4" w:space="0" w:color="auto"/>
                  </w:tcBorders>
                </w:tcPr>
                <w:p w14:paraId="0BD7C0B6" w14:textId="77777777" w:rsidR="0096737A" w:rsidRPr="003761A4" w:rsidRDefault="0096737A" w:rsidP="00C83D7E">
                  <w:pPr>
                    <w:jc w:val="center"/>
                    <w:rPr>
                      <w:rFonts w:ascii="Times New Roman" w:hAnsi="Times New Roman"/>
                      <w:szCs w:val="24"/>
                    </w:rPr>
                  </w:pPr>
                  <w:r w:rsidRPr="003761A4">
                    <w:rPr>
                      <w:rFonts w:ascii="Times New Roman" w:hAnsi="Times New Roman"/>
                      <w:szCs w:val="24"/>
                    </w:rPr>
                    <w:t>13</w:t>
                  </w:r>
                </w:p>
                <w:p w14:paraId="6F08B1DF" w14:textId="77777777" w:rsidR="0096737A" w:rsidRPr="003761A4" w:rsidRDefault="0096737A" w:rsidP="00C83D7E">
                  <w:pPr>
                    <w:pStyle w:val="Default"/>
                    <w:jc w:val="center"/>
                    <w:rPr>
                      <w:rFonts w:ascii="Times New Roman" w:hAnsi="Times New Roman" w:cs="Times New Roman"/>
                      <w:color w:val="auto"/>
                      <w:sz w:val="22"/>
                    </w:rPr>
                  </w:pPr>
                </w:p>
              </w:tc>
              <w:tc>
                <w:tcPr>
                  <w:tcW w:w="1560" w:type="dxa"/>
                  <w:tcBorders>
                    <w:top w:val="single" w:sz="4" w:space="0" w:color="auto"/>
                    <w:left w:val="single" w:sz="4" w:space="0" w:color="auto"/>
                    <w:bottom w:val="single" w:sz="4" w:space="0" w:color="auto"/>
                    <w:right w:val="single" w:sz="4" w:space="0" w:color="auto"/>
                  </w:tcBorders>
                </w:tcPr>
                <w:p w14:paraId="3B9CBB36"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12</w:t>
                  </w:r>
                </w:p>
              </w:tc>
              <w:tc>
                <w:tcPr>
                  <w:tcW w:w="1134" w:type="dxa"/>
                  <w:tcBorders>
                    <w:top w:val="single" w:sz="4" w:space="0" w:color="auto"/>
                    <w:left w:val="single" w:sz="4" w:space="0" w:color="auto"/>
                    <w:bottom w:val="single" w:sz="4" w:space="0" w:color="auto"/>
                    <w:right w:val="single" w:sz="4" w:space="0" w:color="auto"/>
                  </w:tcBorders>
                </w:tcPr>
                <w:p w14:paraId="06C6E28F"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w:t>
                  </w:r>
                </w:p>
              </w:tc>
              <w:tc>
                <w:tcPr>
                  <w:tcW w:w="1007" w:type="dxa"/>
                  <w:tcBorders>
                    <w:top w:val="single" w:sz="4" w:space="0" w:color="auto"/>
                    <w:left w:val="single" w:sz="4" w:space="0" w:color="auto"/>
                    <w:bottom w:val="single" w:sz="4" w:space="0" w:color="auto"/>
                    <w:right w:val="single" w:sz="4" w:space="0" w:color="auto"/>
                  </w:tcBorders>
                </w:tcPr>
                <w:p w14:paraId="16EE368F"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-7,69</w:t>
                  </w:r>
                </w:p>
              </w:tc>
            </w:tr>
            <w:tr w:rsidR="003761A4" w:rsidRPr="003761A4" w14:paraId="1D5D05DF" w14:textId="77777777" w:rsidTr="00C83D7E">
              <w:trPr>
                <w:jc w:val="center"/>
              </w:trPr>
              <w:tc>
                <w:tcPr>
                  <w:tcW w:w="4390" w:type="dxa"/>
                  <w:tcBorders>
                    <w:top w:val="single" w:sz="4" w:space="0" w:color="auto"/>
                    <w:left w:val="single" w:sz="4" w:space="0" w:color="auto"/>
                    <w:bottom w:val="single" w:sz="4" w:space="0" w:color="auto"/>
                    <w:right w:val="single" w:sz="4" w:space="0" w:color="auto"/>
                  </w:tcBorders>
                </w:tcPr>
                <w:p w14:paraId="3032CB90" w14:textId="77777777" w:rsidR="0096737A" w:rsidRPr="003761A4" w:rsidRDefault="0096737A" w:rsidP="00C83D7E">
                  <w:pPr>
                    <w:rPr>
                      <w:rFonts w:ascii="Times New Roman" w:hAnsi="Times New Roman"/>
                      <w:szCs w:val="24"/>
                    </w:rPr>
                  </w:pPr>
                  <w:r w:rsidRPr="003761A4">
                    <w:rPr>
                      <w:rFonts w:ascii="Times New Roman" w:hAnsi="Times New Roman"/>
                      <w:szCs w:val="24"/>
                    </w:rPr>
                    <w:t>прекращено действие аккредитации</w:t>
                  </w:r>
                </w:p>
                <w:p w14:paraId="27B82F8D" w14:textId="77777777" w:rsidR="0096737A" w:rsidRPr="003761A4" w:rsidRDefault="0096737A" w:rsidP="00C83D7E">
                  <w:pPr>
                    <w:rPr>
                      <w:rFonts w:ascii="Times New Roman" w:hAnsi="Times New Roman"/>
                      <w:szCs w:val="24"/>
                    </w:rPr>
                  </w:pPr>
                  <w:r w:rsidRPr="003761A4">
                    <w:rPr>
                      <w:rFonts w:ascii="Times New Roman" w:hAnsi="Times New Roman"/>
                      <w:szCs w:val="24"/>
                    </w:rPr>
                    <w:t>представительств</w:t>
                  </w:r>
                </w:p>
              </w:tc>
              <w:tc>
                <w:tcPr>
                  <w:tcW w:w="1275" w:type="dxa"/>
                  <w:tcBorders>
                    <w:top w:val="single" w:sz="4" w:space="0" w:color="auto"/>
                    <w:left w:val="single" w:sz="4" w:space="0" w:color="auto"/>
                    <w:bottom w:val="single" w:sz="4" w:space="0" w:color="auto"/>
                    <w:right w:val="single" w:sz="4" w:space="0" w:color="auto"/>
                  </w:tcBorders>
                </w:tcPr>
                <w:p w14:paraId="6004FEB3" w14:textId="77777777" w:rsidR="0096737A" w:rsidRPr="003761A4" w:rsidRDefault="0096737A" w:rsidP="00C83D7E">
                  <w:pPr>
                    <w:jc w:val="center"/>
                    <w:rPr>
                      <w:rFonts w:ascii="Times New Roman" w:hAnsi="Times New Roman"/>
                      <w:szCs w:val="24"/>
                    </w:rPr>
                  </w:pPr>
                  <w:r w:rsidRPr="003761A4">
                    <w:rPr>
                      <w:rFonts w:ascii="Times New Roman" w:hAnsi="Times New Roman"/>
                      <w:szCs w:val="24"/>
                    </w:rPr>
                    <w:t>4</w:t>
                  </w:r>
                </w:p>
                <w:p w14:paraId="3AAC07FF" w14:textId="77777777" w:rsidR="0096737A" w:rsidRPr="003761A4" w:rsidRDefault="0096737A" w:rsidP="00C83D7E">
                  <w:pPr>
                    <w:jc w:val="center"/>
                    <w:rPr>
                      <w:rFonts w:ascii="Times New Roman" w:hAnsi="Times New Roman"/>
                      <w:szCs w:val="24"/>
                    </w:rPr>
                  </w:pPr>
                </w:p>
              </w:tc>
              <w:tc>
                <w:tcPr>
                  <w:tcW w:w="1560" w:type="dxa"/>
                  <w:tcBorders>
                    <w:top w:val="single" w:sz="4" w:space="0" w:color="auto"/>
                    <w:left w:val="single" w:sz="4" w:space="0" w:color="auto"/>
                    <w:bottom w:val="single" w:sz="4" w:space="0" w:color="auto"/>
                    <w:right w:val="single" w:sz="4" w:space="0" w:color="auto"/>
                  </w:tcBorders>
                </w:tcPr>
                <w:p w14:paraId="74BB9BD9"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10</w:t>
                  </w:r>
                </w:p>
              </w:tc>
              <w:tc>
                <w:tcPr>
                  <w:tcW w:w="1134" w:type="dxa"/>
                  <w:tcBorders>
                    <w:top w:val="single" w:sz="4" w:space="0" w:color="auto"/>
                    <w:left w:val="single" w:sz="4" w:space="0" w:color="auto"/>
                    <w:bottom w:val="single" w:sz="4" w:space="0" w:color="auto"/>
                    <w:right w:val="single" w:sz="4" w:space="0" w:color="auto"/>
                  </w:tcBorders>
                </w:tcPr>
                <w:p w14:paraId="5C56C858"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6</w:t>
                  </w:r>
                </w:p>
              </w:tc>
              <w:tc>
                <w:tcPr>
                  <w:tcW w:w="1007" w:type="dxa"/>
                  <w:tcBorders>
                    <w:top w:val="single" w:sz="4" w:space="0" w:color="auto"/>
                    <w:left w:val="single" w:sz="4" w:space="0" w:color="auto"/>
                    <w:bottom w:val="single" w:sz="4" w:space="0" w:color="auto"/>
                    <w:right w:val="single" w:sz="4" w:space="0" w:color="auto"/>
                  </w:tcBorders>
                </w:tcPr>
                <w:p w14:paraId="0850C332" w14:textId="77777777" w:rsidR="0096737A" w:rsidRPr="003761A4" w:rsidRDefault="0096737A" w:rsidP="00C83D7E">
                  <w:pPr>
                    <w:pStyle w:val="Default"/>
                    <w:jc w:val="center"/>
                    <w:rPr>
                      <w:rFonts w:ascii="Times New Roman" w:hAnsi="Times New Roman" w:cs="Times New Roman"/>
                      <w:color w:val="auto"/>
                      <w:sz w:val="22"/>
                    </w:rPr>
                  </w:pPr>
                  <w:r w:rsidRPr="003761A4">
                    <w:rPr>
                      <w:rFonts w:ascii="Times New Roman" w:hAnsi="Times New Roman" w:cs="Times New Roman"/>
                      <w:color w:val="auto"/>
                      <w:sz w:val="22"/>
                    </w:rPr>
                    <w:t>150,00</w:t>
                  </w:r>
                </w:p>
              </w:tc>
            </w:tr>
          </w:tbl>
          <w:p w14:paraId="14B6F20A" w14:textId="77777777" w:rsidR="0096737A" w:rsidRPr="003761A4" w:rsidRDefault="0096737A" w:rsidP="00C83D7E">
            <w:pPr>
              <w:pStyle w:val="Default"/>
              <w:ind w:firstLine="0"/>
              <w:rPr>
                <w:rFonts w:ascii="Times New Roman" w:hAnsi="Times New Roman" w:cs="Times New Roman"/>
                <w:color w:val="auto"/>
              </w:rPr>
            </w:pPr>
          </w:p>
        </w:tc>
      </w:tr>
    </w:tbl>
    <w:p w14:paraId="6CE2EF4C" w14:textId="77777777" w:rsidR="0096737A" w:rsidRPr="003761A4" w:rsidRDefault="0096737A" w:rsidP="0096737A">
      <w:pPr>
        <w:autoSpaceDE w:val="0"/>
        <w:autoSpaceDN w:val="0"/>
        <w:adjustRightInd w:val="0"/>
        <w:spacing w:after="120"/>
        <w:ind w:firstLine="0"/>
        <w:rPr>
          <w:rFonts w:ascii="Times New Roman" w:hAnsi="Times New Roman"/>
          <w:sz w:val="24"/>
          <w:szCs w:val="24"/>
          <w:lang w:eastAsia="ru-RU"/>
        </w:rPr>
      </w:pPr>
      <w:r w:rsidRPr="003761A4">
        <w:rPr>
          <w:rFonts w:ascii="Times New Roman" w:hAnsi="Times New Roman"/>
          <w:sz w:val="24"/>
          <w:szCs w:val="24"/>
          <w:lang w:val="en-US" w:eastAsia="ru-RU"/>
        </w:rPr>
        <w:t xml:space="preserve">* </w:t>
      </w:r>
      <w:r w:rsidRPr="003761A4">
        <w:rPr>
          <w:rFonts w:ascii="Times New Roman" w:hAnsi="Times New Roman"/>
          <w:sz w:val="24"/>
          <w:szCs w:val="24"/>
          <w:lang w:eastAsia="ru-RU"/>
        </w:rPr>
        <w:t>- процентные пункты</w:t>
      </w:r>
    </w:p>
    <w:p w14:paraId="590337EF" w14:textId="77777777" w:rsidR="0096737A" w:rsidRPr="003761A4" w:rsidRDefault="0096737A" w:rsidP="0096737A">
      <w:pPr>
        <w:keepNext/>
        <w:spacing w:after="120"/>
        <w:ind w:firstLine="0"/>
        <w:rPr>
          <w:rFonts w:ascii="Times New Roman" w:hAnsi="Times New Roman"/>
          <w:b/>
          <w:sz w:val="24"/>
          <w:szCs w:val="24"/>
        </w:rPr>
      </w:pPr>
      <w:r w:rsidRPr="003761A4">
        <w:rPr>
          <w:rFonts w:ascii="Times New Roman" w:hAnsi="Times New Roman"/>
          <w:b/>
          <w:sz w:val="24"/>
          <w:szCs w:val="24"/>
        </w:rPr>
        <w:t xml:space="preserve">Цифровизация и финансовые технологии в банковской сфере </w:t>
      </w:r>
    </w:p>
    <w:p w14:paraId="6B85B971" w14:textId="77777777" w:rsidR="0096737A" w:rsidRPr="003761A4" w:rsidRDefault="0096737A" w:rsidP="0096737A">
      <w:pPr>
        <w:autoSpaceDE w:val="0"/>
        <w:autoSpaceDN w:val="0"/>
        <w:adjustRightInd w:val="0"/>
        <w:spacing w:after="120"/>
        <w:ind w:firstLine="0"/>
        <w:rPr>
          <w:rFonts w:ascii="Times New Roman" w:hAnsi="Times New Roman"/>
          <w:sz w:val="24"/>
          <w:szCs w:val="24"/>
        </w:rPr>
      </w:pPr>
      <w:r w:rsidRPr="003761A4">
        <w:rPr>
          <w:rFonts w:ascii="Times New Roman" w:hAnsi="Times New Roman"/>
          <w:sz w:val="24"/>
          <w:szCs w:val="24"/>
        </w:rPr>
        <w:tab/>
        <w:t>В 2022 году Банк России продолжил работу по созданию условий для развития и внедрения цифровых технологий и по реализации цифровых инфраструктурных проектов, которые направлены на повышение доступности финансовых услуг для граждан и бизнеса.</w:t>
      </w:r>
    </w:p>
    <w:p w14:paraId="04281A4B" w14:textId="77777777" w:rsidR="0096737A" w:rsidRPr="003761A4" w:rsidRDefault="0096737A" w:rsidP="0096737A">
      <w:pPr>
        <w:autoSpaceDE w:val="0"/>
        <w:autoSpaceDN w:val="0"/>
        <w:adjustRightInd w:val="0"/>
        <w:spacing w:after="120"/>
        <w:ind w:firstLine="0"/>
        <w:rPr>
          <w:rFonts w:ascii="Times New Roman" w:hAnsi="Times New Roman"/>
          <w:sz w:val="24"/>
          <w:szCs w:val="24"/>
        </w:rPr>
      </w:pPr>
      <w:r w:rsidRPr="003761A4">
        <w:rPr>
          <w:rFonts w:ascii="Times New Roman" w:hAnsi="Times New Roman"/>
          <w:sz w:val="24"/>
          <w:szCs w:val="24"/>
        </w:rPr>
        <w:tab/>
        <w:t xml:space="preserve">Значительно расширилось использование </w:t>
      </w:r>
      <w:r w:rsidRPr="003761A4">
        <w:rPr>
          <w:rFonts w:ascii="Times New Roman" w:hAnsi="Times New Roman"/>
          <w:b/>
          <w:bCs/>
          <w:sz w:val="24"/>
          <w:szCs w:val="24"/>
        </w:rPr>
        <w:t>Цифрового профиля</w:t>
      </w:r>
      <w:r w:rsidRPr="003761A4">
        <w:rPr>
          <w:rFonts w:ascii="Times New Roman" w:hAnsi="Times New Roman"/>
          <w:sz w:val="24"/>
          <w:szCs w:val="24"/>
        </w:rPr>
        <w:t>. Он позволяет людям получать финансовые услуги и сервисы онлайн, предоставляя сведения о себе из государственных информационных систем. Бизнесу Цифровой профиль дает дополнительные возможности для снижения издержек.</w:t>
      </w:r>
    </w:p>
    <w:p w14:paraId="118554A3" w14:textId="77777777" w:rsidR="0096737A" w:rsidRPr="003761A4" w:rsidRDefault="0096737A" w:rsidP="0096737A">
      <w:pPr>
        <w:autoSpaceDE w:val="0"/>
        <w:autoSpaceDN w:val="0"/>
        <w:adjustRightInd w:val="0"/>
        <w:spacing w:after="120"/>
        <w:ind w:firstLine="0"/>
        <w:rPr>
          <w:rFonts w:ascii="Times New Roman" w:hAnsi="Times New Roman"/>
          <w:sz w:val="24"/>
          <w:szCs w:val="24"/>
        </w:rPr>
      </w:pPr>
      <w:r w:rsidRPr="003761A4">
        <w:rPr>
          <w:rFonts w:ascii="Times New Roman" w:hAnsi="Times New Roman"/>
          <w:sz w:val="24"/>
          <w:szCs w:val="24"/>
        </w:rPr>
        <w:tab/>
        <w:t>Количество организаций, оказывающих услуги с использованием Цифрового профиля, увеличилось почти вдвое и к началу 2023 года достигло 65-и: 37 банков, 5 страховых компаний, 20 микрофинансовых организаций и 3 оператора финансовых платформ. Через Цифровой профиль доступно 38 видов сведений. С момента запуска инфраструктуры Цифрового профиля согласие на предоставление данных через него граждане дали более 24,4 млн раз. В 2022 году создан</w:t>
      </w:r>
      <w:r w:rsidRPr="003761A4">
        <w:rPr>
          <w:rStyle w:val="a8"/>
          <w:rFonts w:ascii="Times New Roman" w:hAnsi="Times New Roman"/>
          <w:sz w:val="24"/>
          <w:szCs w:val="24"/>
        </w:rPr>
        <w:footnoteReference w:id="32"/>
      </w:r>
      <w:r w:rsidRPr="003761A4">
        <w:rPr>
          <w:rFonts w:ascii="Times New Roman" w:hAnsi="Times New Roman"/>
          <w:sz w:val="24"/>
          <w:szCs w:val="24"/>
        </w:rPr>
        <w:t xml:space="preserve"> Цифровой профиль субъекта МСП. </w:t>
      </w:r>
    </w:p>
    <w:p w14:paraId="430CBD31" w14:textId="77777777" w:rsidR="0096737A" w:rsidRPr="003761A4" w:rsidRDefault="0096737A" w:rsidP="0096737A">
      <w:pPr>
        <w:autoSpaceDE w:val="0"/>
        <w:autoSpaceDN w:val="0"/>
        <w:adjustRightInd w:val="0"/>
        <w:spacing w:after="120"/>
        <w:ind w:firstLine="0"/>
        <w:rPr>
          <w:rFonts w:ascii="Times New Roman" w:hAnsi="Times New Roman"/>
          <w:sz w:val="24"/>
          <w:szCs w:val="24"/>
        </w:rPr>
      </w:pPr>
      <w:r w:rsidRPr="003761A4">
        <w:rPr>
          <w:rFonts w:ascii="Times New Roman" w:hAnsi="Times New Roman"/>
          <w:sz w:val="24"/>
          <w:szCs w:val="24"/>
        </w:rPr>
        <w:tab/>
        <w:t xml:space="preserve">Для развития </w:t>
      </w:r>
      <w:r w:rsidRPr="003761A4">
        <w:rPr>
          <w:rFonts w:ascii="Times New Roman" w:hAnsi="Times New Roman"/>
          <w:b/>
          <w:bCs/>
          <w:sz w:val="24"/>
          <w:szCs w:val="24"/>
        </w:rPr>
        <w:t xml:space="preserve">Единой биометрической системы </w:t>
      </w:r>
      <w:r w:rsidRPr="003761A4">
        <w:rPr>
          <w:rFonts w:ascii="Times New Roman" w:hAnsi="Times New Roman"/>
          <w:sz w:val="24"/>
          <w:szCs w:val="24"/>
        </w:rPr>
        <w:t>(ЕБС) создано АО «Центр Биометрических Технологий»</w:t>
      </w:r>
      <w:r w:rsidRPr="003761A4">
        <w:rPr>
          <w:rStyle w:val="a8"/>
          <w:rFonts w:ascii="Times New Roman" w:hAnsi="Times New Roman"/>
          <w:sz w:val="24"/>
          <w:szCs w:val="24"/>
        </w:rPr>
        <w:footnoteReference w:id="33"/>
      </w:r>
      <w:r w:rsidRPr="003761A4">
        <w:rPr>
          <w:rFonts w:ascii="Times New Roman" w:hAnsi="Times New Roman"/>
          <w:sz w:val="24"/>
          <w:szCs w:val="24"/>
        </w:rPr>
        <w:t xml:space="preserve"> – совместное предприятие с участием Банка России, Правительства Российской Федерации и ПАО «Ростелеком». Это позволит централизованно развивать биометрические технологии, чтобы затем участники финансового рынка применяли их для удаленной идентификации. Кроме того, принятый в 2022 году закон</w:t>
      </w:r>
      <w:r w:rsidRPr="003761A4">
        <w:rPr>
          <w:rStyle w:val="a8"/>
          <w:rFonts w:ascii="Times New Roman" w:hAnsi="Times New Roman"/>
          <w:sz w:val="24"/>
          <w:szCs w:val="24"/>
        </w:rPr>
        <w:footnoteReference w:id="34"/>
      </w:r>
      <w:r w:rsidRPr="003761A4">
        <w:rPr>
          <w:rFonts w:ascii="Times New Roman" w:hAnsi="Times New Roman"/>
          <w:sz w:val="24"/>
          <w:szCs w:val="24"/>
        </w:rPr>
        <w:t xml:space="preserve"> предусматривает в том числе хранение биометрических образцов только в ЕБС, переход на векторную схему использования биометрии.</w:t>
      </w:r>
      <w:r w:rsidRPr="003761A4" w:rsidDel="007D6FBC">
        <w:rPr>
          <w:rFonts w:ascii="Times New Roman" w:hAnsi="Times New Roman"/>
          <w:sz w:val="24"/>
          <w:szCs w:val="24"/>
        </w:rPr>
        <w:t xml:space="preserve"> </w:t>
      </w:r>
      <w:r w:rsidRPr="003761A4">
        <w:rPr>
          <w:rFonts w:ascii="Times New Roman" w:hAnsi="Times New Roman"/>
          <w:sz w:val="24"/>
          <w:szCs w:val="24"/>
        </w:rPr>
        <w:t>По состоянию на конец 2022 года регистрация в ЕБС доступна более чем в 13 тыс. точек банковского обслуживания 189 банков и вне офисов во всех регионах страны (курьерская модель). Услуги по удаленной идентификации с помощью сайта или мобильного приложения оказывают 54 банка.</w:t>
      </w:r>
    </w:p>
    <w:p w14:paraId="5AC2E1AF" w14:textId="77777777" w:rsidR="0096737A" w:rsidRPr="003761A4" w:rsidRDefault="0096737A" w:rsidP="0096737A">
      <w:pPr>
        <w:autoSpaceDE w:val="0"/>
        <w:autoSpaceDN w:val="0"/>
        <w:adjustRightInd w:val="0"/>
        <w:spacing w:after="120"/>
        <w:ind w:firstLine="0"/>
        <w:rPr>
          <w:rFonts w:ascii="Times New Roman" w:hAnsi="Times New Roman"/>
          <w:sz w:val="24"/>
          <w:szCs w:val="24"/>
        </w:rPr>
      </w:pPr>
      <w:r w:rsidRPr="003761A4">
        <w:rPr>
          <w:rFonts w:ascii="Times New Roman" w:hAnsi="Times New Roman"/>
          <w:sz w:val="24"/>
          <w:szCs w:val="24"/>
        </w:rPr>
        <w:tab/>
        <w:t xml:space="preserve">Важным направлением стало развитие новых видов финансовых инструментов, в основе которых лежит технология распределенных реестров, – </w:t>
      </w:r>
      <w:r w:rsidRPr="003761A4">
        <w:rPr>
          <w:rFonts w:ascii="Times New Roman" w:hAnsi="Times New Roman"/>
          <w:b/>
          <w:bCs/>
          <w:sz w:val="24"/>
          <w:szCs w:val="24"/>
        </w:rPr>
        <w:t xml:space="preserve">утилитарных цифровых прав </w:t>
      </w:r>
      <w:r w:rsidRPr="003761A4">
        <w:rPr>
          <w:rFonts w:ascii="Times New Roman" w:hAnsi="Times New Roman"/>
          <w:sz w:val="24"/>
          <w:szCs w:val="24"/>
        </w:rPr>
        <w:t xml:space="preserve">(УЦП) и </w:t>
      </w:r>
      <w:r w:rsidRPr="003761A4">
        <w:rPr>
          <w:rFonts w:ascii="Times New Roman" w:hAnsi="Times New Roman"/>
          <w:b/>
          <w:bCs/>
          <w:sz w:val="24"/>
          <w:szCs w:val="24"/>
        </w:rPr>
        <w:t xml:space="preserve">цифровых финансовых активов </w:t>
      </w:r>
      <w:r w:rsidRPr="003761A4">
        <w:rPr>
          <w:rFonts w:ascii="Times New Roman" w:hAnsi="Times New Roman"/>
          <w:sz w:val="24"/>
          <w:szCs w:val="24"/>
        </w:rPr>
        <w:t>(ЦФА). Банк России существенно доработал нормативную базу</w:t>
      </w:r>
      <w:r w:rsidRPr="003761A4">
        <w:rPr>
          <w:rStyle w:val="a8"/>
          <w:rFonts w:ascii="Times New Roman" w:hAnsi="Times New Roman"/>
          <w:sz w:val="24"/>
          <w:szCs w:val="24"/>
        </w:rPr>
        <w:footnoteReference w:id="35"/>
      </w:r>
      <w:r w:rsidRPr="003761A4">
        <w:rPr>
          <w:rFonts w:ascii="Times New Roman" w:hAnsi="Times New Roman"/>
          <w:sz w:val="24"/>
          <w:szCs w:val="24"/>
        </w:rPr>
        <w:t>, чтобы снизить издержки операторов, повысить скорость и безопасность операций, защиту прав и интересов инвесторов. Закон устанавливает порядок осуществления расчетов по сделкам с ЦФА с использованием номинального счета. Также усовершенствован механизм залога ценных бумаг, обеспечивающего обязательства по ЦФА, и предусмотрен запрет на использование ЦФА и УЦП в качестве средств платежа. Кроме того, был расширен перечень ЦФА, доступных неквалифицированным инвесторам</w:t>
      </w:r>
      <w:r w:rsidRPr="003761A4">
        <w:rPr>
          <w:rStyle w:val="a8"/>
          <w:rFonts w:ascii="Times New Roman" w:hAnsi="Times New Roman"/>
          <w:sz w:val="24"/>
          <w:szCs w:val="24"/>
        </w:rPr>
        <w:footnoteReference w:id="36"/>
      </w:r>
      <w:r w:rsidRPr="003761A4">
        <w:rPr>
          <w:rFonts w:ascii="Times New Roman" w:hAnsi="Times New Roman"/>
          <w:sz w:val="24"/>
          <w:szCs w:val="24"/>
        </w:rPr>
        <w:t>, а также определен порядок налогообложения</w:t>
      </w:r>
      <w:r w:rsidRPr="003761A4">
        <w:rPr>
          <w:rStyle w:val="a8"/>
          <w:rFonts w:ascii="Times New Roman" w:hAnsi="Times New Roman"/>
          <w:sz w:val="24"/>
          <w:szCs w:val="24"/>
        </w:rPr>
        <w:footnoteReference w:id="37"/>
      </w:r>
      <w:r w:rsidRPr="003761A4">
        <w:rPr>
          <w:rFonts w:ascii="Times New Roman" w:hAnsi="Times New Roman"/>
          <w:sz w:val="24"/>
          <w:szCs w:val="24"/>
        </w:rPr>
        <w:t xml:space="preserve"> ЦФА и гибридных цифровых прав (включающих одновременно ЦФА и УЦП). В ноябре 2022 года в докладе для общественных консультаций «Развитие рынка цифровых активов в Российской Федерации» Банк России предложил дальнейшие меры по развитию рынка цифровых активов. В 2022 году в России появилось три оператора информационных систем, в которых состоялось 19 выпусков ЦФА совокупным объемом 728 млн рублей.</w:t>
      </w:r>
    </w:p>
    <w:p w14:paraId="0158CB19" w14:textId="77777777" w:rsidR="0096737A" w:rsidRPr="003761A4" w:rsidRDefault="0096737A" w:rsidP="0096737A">
      <w:pPr>
        <w:autoSpaceDE w:val="0"/>
        <w:autoSpaceDN w:val="0"/>
        <w:adjustRightInd w:val="0"/>
        <w:spacing w:after="120"/>
        <w:ind w:firstLine="0"/>
        <w:rPr>
          <w:rFonts w:ascii="Times New Roman" w:hAnsi="Times New Roman"/>
          <w:sz w:val="24"/>
          <w:szCs w:val="24"/>
        </w:rPr>
      </w:pPr>
      <w:r w:rsidRPr="003761A4">
        <w:rPr>
          <w:rFonts w:ascii="Times New Roman" w:hAnsi="Times New Roman"/>
          <w:sz w:val="24"/>
          <w:szCs w:val="24"/>
        </w:rPr>
        <w:tab/>
        <w:t xml:space="preserve">В рамках развития </w:t>
      </w:r>
      <w:proofErr w:type="spellStart"/>
      <w:r w:rsidRPr="003761A4">
        <w:rPr>
          <w:rFonts w:ascii="Times New Roman" w:hAnsi="Times New Roman"/>
          <w:sz w:val="24"/>
          <w:szCs w:val="24"/>
          <w:lang w:val="en-US"/>
        </w:rPr>
        <w:t>Regtech</w:t>
      </w:r>
      <w:proofErr w:type="spellEnd"/>
      <w:r w:rsidRPr="003761A4">
        <w:rPr>
          <w:rFonts w:ascii="Times New Roman" w:hAnsi="Times New Roman"/>
          <w:sz w:val="24"/>
          <w:szCs w:val="24"/>
        </w:rPr>
        <w:t xml:space="preserve"> и </w:t>
      </w:r>
      <w:proofErr w:type="spellStart"/>
      <w:r w:rsidRPr="003761A4">
        <w:rPr>
          <w:rFonts w:ascii="Times New Roman" w:hAnsi="Times New Roman"/>
          <w:sz w:val="24"/>
          <w:szCs w:val="24"/>
          <w:lang w:val="en-US"/>
        </w:rPr>
        <w:t>Suptech</w:t>
      </w:r>
      <w:proofErr w:type="spellEnd"/>
      <w:r w:rsidRPr="003761A4">
        <w:rPr>
          <w:rFonts w:ascii="Times New Roman" w:hAnsi="Times New Roman"/>
          <w:sz w:val="24"/>
          <w:szCs w:val="24"/>
        </w:rPr>
        <w:t xml:space="preserve"> технологий была запущена платформа Банка России </w:t>
      </w:r>
      <w:r w:rsidRPr="003761A4">
        <w:rPr>
          <w:rFonts w:ascii="Times New Roman" w:hAnsi="Times New Roman"/>
          <w:b/>
          <w:sz w:val="24"/>
          <w:szCs w:val="24"/>
        </w:rPr>
        <w:t>«Знай своего клиента (ЗСК)»</w:t>
      </w:r>
      <w:r w:rsidRPr="003761A4">
        <w:rPr>
          <w:rFonts w:ascii="Times New Roman" w:hAnsi="Times New Roman"/>
          <w:sz w:val="24"/>
          <w:szCs w:val="24"/>
        </w:rPr>
        <w:t xml:space="preserve">. С ее помощью КО предоставляется информация об отнесении Банком России российских юридических лиц и индивидуальных предпринимателей к группам степени (уровня) риска совершения подозрительных операций. Платформа ЗСК снизила нагрузку на добросовестный сегмент бизнеса и объемы сомнительных операций в экономике, а также привела к повышению эффективности российской </w:t>
      </w:r>
      <w:proofErr w:type="spellStart"/>
      <w:r w:rsidRPr="003761A4">
        <w:rPr>
          <w:rFonts w:ascii="Times New Roman" w:hAnsi="Times New Roman"/>
          <w:sz w:val="24"/>
          <w:szCs w:val="24"/>
        </w:rPr>
        <w:t>противолегализационной</w:t>
      </w:r>
      <w:proofErr w:type="spellEnd"/>
      <w:r w:rsidRPr="003761A4">
        <w:rPr>
          <w:rFonts w:ascii="Times New Roman" w:hAnsi="Times New Roman"/>
          <w:sz w:val="24"/>
          <w:szCs w:val="24"/>
        </w:rPr>
        <w:t xml:space="preserve"> системы.</w:t>
      </w:r>
    </w:p>
    <w:p w14:paraId="46742D5D" w14:textId="77777777" w:rsidR="0096737A" w:rsidRPr="003761A4" w:rsidRDefault="0096737A" w:rsidP="0096737A">
      <w:pPr>
        <w:autoSpaceDE w:val="0"/>
        <w:autoSpaceDN w:val="0"/>
        <w:adjustRightInd w:val="0"/>
        <w:spacing w:after="120"/>
        <w:ind w:firstLine="0"/>
        <w:rPr>
          <w:rFonts w:ascii="Times New Roman" w:hAnsi="Times New Roman"/>
          <w:sz w:val="24"/>
          <w:szCs w:val="24"/>
        </w:rPr>
      </w:pPr>
      <w:r w:rsidRPr="003761A4">
        <w:rPr>
          <w:rFonts w:ascii="Times New Roman" w:hAnsi="Times New Roman"/>
          <w:sz w:val="24"/>
          <w:szCs w:val="24"/>
        </w:rPr>
        <w:tab/>
        <w:t xml:space="preserve">Банк России сформулировал подходы к реализации и регулированию открытых программных интерфейсов – </w:t>
      </w:r>
      <w:r w:rsidRPr="003761A4">
        <w:rPr>
          <w:rFonts w:ascii="Times New Roman" w:hAnsi="Times New Roman"/>
          <w:b/>
          <w:bCs/>
          <w:sz w:val="24"/>
          <w:szCs w:val="24"/>
        </w:rPr>
        <w:t>Открытых API</w:t>
      </w:r>
      <w:r w:rsidRPr="003761A4">
        <w:rPr>
          <w:rStyle w:val="a8"/>
          <w:rFonts w:ascii="Times New Roman" w:hAnsi="Times New Roman"/>
          <w:b/>
          <w:bCs/>
          <w:sz w:val="24"/>
          <w:szCs w:val="24"/>
        </w:rPr>
        <w:footnoteReference w:id="38"/>
      </w:r>
      <w:r w:rsidRPr="003761A4">
        <w:rPr>
          <w:rFonts w:ascii="Times New Roman" w:hAnsi="Times New Roman"/>
          <w:sz w:val="24"/>
          <w:szCs w:val="24"/>
        </w:rPr>
        <w:t xml:space="preserve">, а также обсудил с участниками рынка модель их внедрения. По результатам анализа обратной связи, полученной от участников финансового рынка, большинством респондентов была поддержана концепция, предполагающая внедрение единых стандартов обмена данными в банковском, страховом, инвестиционном и микрофинансовом секторах (модель Открытых финансов) с дальнейшим распространением на нефинансовый сектор экономики (переход к модели Открытых данных). При этом часть крупнейших участников рынка считает, что необходимо реализовать внедрение модели Открытых данных. Благодаря применению Открытых API организации смогут обмениваться клиентскими данными и за счет этого предлагать более </w:t>
      </w:r>
      <w:proofErr w:type="spellStart"/>
      <w:r w:rsidRPr="003761A4">
        <w:rPr>
          <w:rFonts w:ascii="Times New Roman" w:hAnsi="Times New Roman"/>
          <w:sz w:val="24"/>
          <w:szCs w:val="24"/>
        </w:rPr>
        <w:t>клиентоориентированные</w:t>
      </w:r>
      <w:proofErr w:type="spellEnd"/>
      <w:r w:rsidRPr="003761A4">
        <w:rPr>
          <w:rFonts w:ascii="Times New Roman" w:hAnsi="Times New Roman"/>
          <w:sz w:val="24"/>
          <w:szCs w:val="24"/>
        </w:rPr>
        <w:t xml:space="preserve"> финансовые услуги. Важно, что обмен такими данными будет возможен только с согласия клиента и при соблюдении требований по защите конфиденциальных сведений.</w:t>
      </w:r>
    </w:p>
    <w:p w14:paraId="71FD13DD" w14:textId="77777777" w:rsidR="0096737A" w:rsidRPr="003761A4" w:rsidRDefault="0096737A" w:rsidP="0096737A">
      <w:pPr>
        <w:autoSpaceDE w:val="0"/>
        <w:autoSpaceDN w:val="0"/>
        <w:adjustRightInd w:val="0"/>
        <w:spacing w:after="120"/>
        <w:ind w:firstLine="0"/>
        <w:rPr>
          <w:rFonts w:ascii="Times New Roman" w:hAnsi="Times New Roman"/>
          <w:sz w:val="24"/>
          <w:szCs w:val="24"/>
        </w:rPr>
      </w:pPr>
      <w:r w:rsidRPr="003761A4">
        <w:rPr>
          <w:rFonts w:ascii="Times New Roman" w:hAnsi="Times New Roman"/>
          <w:b/>
          <w:sz w:val="24"/>
          <w:szCs w:val="24"/>
        </w:rPr>
        <w:tab/>
        <w:t>Национальная система платежных карт</w:t>
      </w:r>
      <w:r w:rsidRPr="003761A4">
        <w:rPr>
          <w:rFonts w:ascii="Times New Roman" w:hAnsi="Times New Roman"/>
          <w:sz w:val="24"/>
          <w:szCs w:val="24"/>
        </w:rPr>
        <w:t xml:space="preserve"> обрабатывает весь внутрироссийский трафик по платежным картам. Несмотря на уход из России ряда международных платежных систем, Банком России и АО «НСПК» обеспечено продолжение бесперебойного функционирования на территории Российской Федерации платежных карт указанных платежных систем, эмитированных российскими банками, в том числе в целях исключения негативных последствий для российских граждан – держателей данных карт. </w:t>
      </w:r>
    </w:p>
    <w:p w14:paraId="53BD8856" w14:textId="4F28884A" w:rsidR="008851D6" w:rsidRPr="003761A4" w:rsidRDefault="0096737A" w:rsidP="008851D6">
      <w:pPr>
        <w:autoSpaceDE w:val="0"/>
        <w:autoSpaceDN w:val="0"/>
        <w:adjustRightInd w:val="0"/>
        <w:spacing w:after="120"/>
        <w:ind w:firstLine="0"/>
        <w:rPr>
          <w:rFonts w:ascii="Times New Roman" w:hAnsi="Times New Roman"/>
          <w:sz w:val="24"/>
          <w:szCs w:val="24"/>
        </w:rPr>
      </w:pPr>
      <w:r w:rsidRPr="003761A4">
        <w:rPr>
          <w:rFonts w:ascii="Times New Roman" w:hAnsi="Times New Roman"/>
          <w:b/>
          <w:sz w:val="24"/>
          <w:szCs w:val="24"/>
        </w:rPr>
        <w:tab/>
      </w:r>
      <w:r w:rsidR="008851D6" w:rsidRPr="003761A4">
        <w:rPr>
          <w:rFonts w:ascii="Times New Roman" w:hAnsi="Times New Roman"/>
          <w:b/>
          <w:sz w:val="24"/>
          <w:szCs w:val="24"/>
        </w:rPr>
        <w:t>Система передачи финансовых сообщений</w:t>
      </w:r>
      <w:r w:rsidR="008851D6" w:rsidRPr="003761A4">
        <w:rPr>
          <w:rFonts w:ascii="Times New Roman" w:hAnsi="Times New Roman"/>
          <w:sz w:val="24"/>
          <w:szCs w:val="24"/>
        </w:rPr>
        <w:t xml:space="preserve"> Банка России (далее – СПФС) обеспечивает гарантированное и бесперебойное предоставление услуг по передаче финансовых сообщений внутри России, а также взаимодействие более чем с 10 странами. Трафик в СПФС в I квартале 2023 года по сравнению с аналогичным периодом 2022 года вырос в 4 раза до более чем 40 млн сообщений. На 01.05.2023 действующими пользователями СПФС являются около 490 организаций, из них более 110 – иностранные участники. Более половины иностранных участников подключились в 2022 году. В значительной степени этому способствовало взаимодействие Банка России с центральными банками дружественных стран по вопросам подключения к СПФС.</w:t>
      </w:r>
    </w:p>
    <w:p w14:paraId="292435EF" w14:textId="01DCC1F2" w:rsidR="008851D6" w:rsidRPr="003761A4" w:rsidRDefault="008851D6" w:rsidP="008851D6">
      <w:pPr>
        <w:autoSpaceDE w:val="0"/>
        <w:autoSpaceDN w:val="0"/>
        <w:adjustRightInd w:val="0"/>
        <w:spacing w:after="120"/>
        <w:ind w:firstLine="708"/>
        <w:rPr>
          <w:rFonts w:ascii="Times New Roman" w:hAnsi="Times New Roman"/>
          <w:sz w:val="24"/>
          <w:szCs w:val="24"/>
        </w:rPr>
      </w:pPr>
      <w:r w:rsidRPr="003761A4">
        <w:rPr>
          <w:rFonts w:ascii="Times New Roman" w:hAnsi="Times New Roman"/>
          <w:sz w:val="24"/>
          <w:szCs w:val="24"/>
        </w:rPr>
        <w:t>В целях обеспечения надежности, бесперебойности и безопасности обмена данными при проведении внутрироссийских операций Советом директоров Банка России принято решение</w:t>
      </w:r>
      <w:r w:rsidRPr="003761A4">
        <w:rPr>
          <w:rStyle w:val="a8"/>
          <w:rFonts w:ascii="Times New Roman" w:hAnsi="Times New Roman"/>
          <w:sz w:val="24"/>
          <w:szCs w:val="24"/>
        </w:rPr>
        <w:footnoteReference w:id="39"/>
      </w:r>
      <w:r w:rsidRPr="003761A4">
        <w:rPr>
          <w:rFonts w:ascii="Times New Roman" w:hAnsi="Times New Roman"/>
          <w:sz w:val="24"/>
          <w:szCs w:val="24"/>
        </w:rPr>
        <w:t>, что с 01.10.2023 для передачи финансовой информации при переводах средств на территории страны банки будут обязаны использовать только российские сервисы и отечественную финансовую инфраструктуру (в том числе СПФС).</w:t>
      </w:r>
    </w:p>
    <w:p w14:paraId="5BEE4BC4" w14:textId="1A30F00A" w:rsidR="001A2892" w:rsidRPr="003761A4" w:rsidRDefault="001A2892" w:rsidP="001A2892">
      <w:pPr>
        <w:autoSpaceDE w:val="0"/>
        <w:autoSpaceDN w:val="0"/>
        <w:adjustRightInd w:val="0"/>
        <w:spacing w:after="120"/>
        <w:ind w:firstLine="708"/>
        <w:rPr>
          <w:rFonts w:ascii="Times New Roman" w:hAnsi="Times New Roman"/>
          <w:sz w:val="24"/>
          <w:szCs w:val="24"/>
        </w:rPr>
      </w:pPr>
      <w:r w:rsidRPr="003761A4">
        <w:rPr>
          <w:rFonts w:ascii="Times New Roman" w:hAnsi="Times New Roman"/>
          <w:sz w:val="24"/>
          <w:szCs w:val="24"/>
        </w:rPr>
        <w:t xml:space="preserve">Продолжалось развитие </w:t>
      </w:r>
      <w:r w:rsidRPr="003761A4">
        <w:rPr>
          <w:rFonts w:ascii="Times New Roman" w:hAnsi="Times New Roman"/>
          <w:b/>
          <w:sz w:val="24"/>
          <w:szCs w:val="24"/>
        </w:rPr>
        <w:t>Системы быстрых платежей</w:t>
      </w:r>
      <w:r w:rsidRPr="003761A4">
        <w:rPr>
          <w:rFonts w:ascii="Times New Roman" w:hAnsi="Times New Roman"/>
          <w:sz w:val="24"/>
          <w:szCs w:val="24"/>
        </w:rPr>
        <w:t xml:space="preserve"> (СБП). К началу мая 2023 года в СБП:</w:t>
      </w:r>
    </w:p>
    <w:p w14:paraId="5FDD7AE3" w14:textId="5867EE86" w:rsidR="001A2892" w:rsidRPr="003761A4" w:rsidRDefault="001A2892" w:rsidP="005E435A">
      <w:pPr>
        <w:pStyle w:val="a3"/>
        <w:numPr>
          <w:ilvl w:val="0"/>
          <w:numId w:val="36"/>
        </w:numPr>
        <w:autoSpaceDE w:val="0"/>
        <w:autoSpaceDN w:val="0"/>
        <w:adjustRightInd w:val="0"/>
        <w:spacing w:after="120"/>
        <w:rPr>
          <w:rFonts w:ascii="Times New Roman" w:hAnsi="Times New Roman"/>
          <w:sz w:val="24"/>
          <w:szCs w:val="24"/>
        </w:rPr>
      </w:pPr>
      <w:r w:rsidRPr="003761A4">
        <w:rPr>
          <w:rFonts w:ascii="Times New Roman" w:hAnsi="Times New Roman"/>
          <w:sz w:val="24"/>
          <w:szCs w:val="24"/>
        </w:rPr>
        <w:t>реализованы операции C2C</w:t>
      </w:r>
      <w:r w:rsidR="00C97A67" w:rsidRPr="003761A4">
        <w:rPr>
          <w:rStyle w:val="a8"/>
          <w:rFonts w:ascii="Times New Roman" w:hAnsi="Times New Roman"/>
          <w:sz w:val="24"/>
          <w:szCs w:val="24"/>
        </w:rPr>
        <w:footnoteReference w:id="40"/>
      </w:r>
      <w:r w:rsidRPr="003761A4">
        <w:rPr>
          <w:rFonts w:ascii="Times New Roman" w:hAnsi="Times New Roman"/>
          <w:sz w:val="24"/>
          <w:szCs w:val="24"/>
        </w:rPr>
        <w:t xml:space="preserve"> (в том числе С2С-pull</w:t>
      </w:r>
      <w:r w:rsidR="00C97A67" w:rsidRPr="003761A4">
        <w:rPr>
          <w:rStyle w:val="a8"/>
          <w:rFonts w:ascii="Times New Roman" w:hAnsi="Times New Roman"/>
          <w:sz w:val="24"/>
          <w:szCs w:val="24"/>
        </w:rPr>
        <w:footnoteReference w:id="41"/>
      </w:r>
      <w:r w:rsidRPr="003761A4">
        <w:rPr>
          <w:rFonts w:ascii="Times New Roman" w:hAnsi="Times New Roman"/>
          <w:sz w:val="24"/>
          <w:szCs w:val="24"/>
        </w:rPr>
        <w:t>), C2B</w:t>
      </w:r>
      <w:r w:rsidR="00C97A67" w:rsidRPr="003761A4">
        <w:rPr>
          <w:rStyle w:val="a8"/>
          <w:rFonts w:ascii="Times New Roman" w:hAnsi="Times New Roman"/>
          <w:sz w:val="24"/>
          <w:szCs w:val="24"/>
        </w:rPr>
        <w:footnoteReference w:id="42"/>
      </w:r>
      <w:r w:rsidRPr="003761A4">
        <w:rPr>
          <w:rFonts w:ascii="Times New Roman" w:hAnsi="Times New Roman"/>
          <w:sz w:val="24"/>
          <w:szCs w:val="24"/>
        </w:rPr>
        <w:t>, B2C</w:t>
      </w:r>
      <w:r w:rsidR="00C97A67" w:rsidRPr="003761A4">
        <w:rPr>
          <w:rStyle w:val="a8"/>
          <w:rFonts w:ascii="Times New Roman" w:hAnsi="Times New Roman"/>
          <w:sz w:val="24"/>
          <w:szCs w:val="24"/>
        </w:rPr>
        <w:footnoteReference w:id="43"/>
      </w:r>
      <w:r w:rsidRPr="003761A4">
        <w:rPr>
          <w:rFonts w:ascii="Times New Roman" w:hAnsi="Times New Roman"/>
          <w:sz w:val="24"/>
          <w:szCs w:val="24"/>
        </w:rPr>
        <w:t>, B2B</w:t>
      </w:r>
      <w:r w:rsidR="00C97A67" w:rsidRPr="003761A4">
        <w:rPr>
          <w:rStyle w:val="a8"/>
          <w:rFonts w:ascii="Times New Roman" w:hAnsi="Times New Roman"/>
          <w:sz w:val="24"/>
          <w:szCs w:val="24"/>
        </w:rPr>
        <w:footnoteReference w:id="44"/>
      </w:r>
      <w:r w:rsidRPr="003761A4">
        <w:rPr>
          <w:rFonts w:ascii="Times New Roman" w:hAnsi="Times New Roman"/>
          <w:sz w:val="24"/>
          <w:szCs w:val="24"/>
        </w:rPr>
        <w:t>, C2G</w:t>
      </w:r>
      <w:r w:rsidR="005E435A" w:rsidRPr="003761A4">
        <w:rPr>
          <w:rStyle w:val="a8"/>
          <w:rFonts w:ascii="Times New Roman" w:hAnsi="Times New Roman"/>
          <w:sz w:val="24"/>
          <w:szCs w:val="24"/>
        </w:rPr>
        <w:footnoteReference w:id="45"/>
      </w:r>
      <w:r w:rsidRPr="003761A4">
        <w:rPr>
          <w:rFonts w:ascii="Times New Roman" w:hAnsi="Times New Roman"/>
          <w:sz w:val="24"/>
          <w:szCs w:val="24"/>
        </w:rPr>
        <w:t>;</w:t>
      </w:r>
    </w:p>
    <w:p w14:paraId="4EC04AC1" w14:textId="77777777" w:rsidR="001A2892" w:rsidRPr="003761A4" w:rsidRDefault="001A2892" w:rsidP="005E435A">
      <w:pPr>
        <w:pStyle w:val="a3"/>
        <w:numPr>
          <w:ilvl w:val="0"/>
          <w:numId w:val="36"/>
        </w:numPr>
        <w:autoSpaceDE w:val="0"/>
        <w:autoSpaceDN w:val="0"/>
        <w:adjustRightInd w:val="0"/>
        <w:spacing w:after="120"/>
        <w:rPr>
          <w:rFonts w:ascii="Times New Roman" w:hAnsi="Times New Roman"/>
          <w:sz w:val="24"/>
          <w:szCs w:val="24"/>
        </w:rPr>
      </w:pPr>
      <w:r w:rsidRPr="003761A4">
        <w:rPr>
          <w:rFonts w:ascii="Times New Roman" w:hAnsi="Times New Roman"/>
          <w:sz w:val="24"/>
          <w:szCs w:val="24"/>
        </w:rPr>
        <w:t xml:space="preserve">мобильное приложение </w:t>
      </w:r>
      <w:proofErr w:type="spellStart"/>
      <w:r w:rsidRPr="003761A4">
        <w:rPr>
          <w:rFonts w:ascii="Times New Roman" w:hAnsi="Times New Roman"/>
          <w:sz w:val="24"/>
          <w:szCs w:val="24"/>
        </w:rPr>
        <w:t>СБПэй</w:t>
      </w:r>
      <w:proofErr w:type="spellEnd"/>
      <w:r w:rsidRPr="003761A4">
        <w:rPr>
          <w:rFonts w:ascii="Times New Roman" w:hAnsi="Times New Roman"/>
          <w:sz w:val="24"/>
          <w:szCs w:val="24"/>
        </w:rPr>
        <w:t xml:space="preserve"> доступно для использования клиентам 177 банков, включая все СЗКО.</w:t>
      </w:r>
    </w:p>
    <w:p w14:paraId="4200A45B" w14:textId="4FC1B983" w:rsidR="001A2892" w:rsidRPr="003761A4" w:rsidRDefault="001A2892" w:rsidP="001A2892">
      <w:pPr>
        <w:autoSpaceDE w:val="0"/>
        <w:autoSpaceDN w:val="0"/>
        <w:adjustRightInd w:val="0"/>
        <w:spacing w:after="120"/>
        <w:ind w:firstLine="708"/>
        <w:rPr>
          <w:rFonts w:ascii="Times New Roman" w:hAnsi="Times New Roman"/>
          <w:sz w:val="24"/>
          <w:szCs w:val="24"/>
        </w:rPr>
      </w:pPr>
      <w:r w:rsidRPr="003761A4">
        <w:rPr>
          <w:rFonts w:ascii="Times New Roman" w:hAnsi="Times New Roman"/>
          <w:sz w:val="24"/>
          <w:szCs w:val="24"/>
        </w:rPr>
        <w:t>Внедрены и активно развиваются агентская схема подключения и совершения операций С2В в СБП, применение технологии NFC, что позволяет предложить бизнесу коробочные решения по бесшовной интеграции СБП с кассовыми системами. Правилами ПС БР установлена обязанность СЗКО реализовать агентскую схему работы с ТСП в СБП с 1 октября 2023 года</w:t>
      </w:r>
      <w:r w:rsidR="005E435A" w:rsidRPr="003761A4">
        <w:rPr>
          <w:rStyle w:val="a8"/>
          <w:rFonts w:ascii="Times New Roman" w:hAnsi="Times New Roman"/>
          <w:sz w:val="24"/>
          <w:szCs w:val="24"/>
        </w:rPr>
        <w:footnoteReference w:id="46"/>
      </w:r>
      <w:r w:rsidRPr="003761A4">
        <w:rPr>
          <w:rFonts w:ascii="Times New Roman" w:hAnsi="Times New Roman"/>
          <w:sz w:val="24"/>
          <w:szCs w:val="24"/>
        </w:rPr>
        <w:t>.</w:t>
      </w:r>
    </w:p>
    <w:p w14:paraId="2DAE1386" w14:textId="77777777" w:rsidR="001A2892" w:rsidRPr="003761A4" w:rsidRDefault="001A2892" w:rsidP="001A2892">
      <w:pPr>
        <w:autoSpaceDE w:val="0"/>
        <w:autoSpaceDN w:val="0"/>
        <w:adjustRightInd w:val="0"/>
        <w:spacing w:after="120"/>
        <w:ind w:firstLine="708"/>
        <w:rPr>
          <w:rFonts w:ascii="Times New Roman" w:hAnsi="Times New Roman"/>
          <w:sz w:val="24"/>
          <w:szCs w:val="24"/>
        </w:rPr>
      </w:pPr>
      <w:r w:rsidRPr="003761A4">
        <w:rPr>
          <w:rFonts w:ascii="Times New Roman" w:hAnsi="Times New Roman"/>
          <w:sz w:val="24"/>
          <w:szCs w:val="24"/>
        </w:rPr>
        <w:t>Всего на 01.05.2023 к СБП подключено 213 банков, включая все системно значимые, и порядка 728 000 ТСП (рост за год в 2,4 раза). В 2022 году через СБП было совершено более 3 млрд переводов на сумму 14,4 трлн рублей (рост за год в 3,5 раза по количеству и 2,9 раза по объему). В I квартале 2023 года граждане провели через СБП более 1,2 млрд операций на сумму 5,4 трлн рублей, что превышает показатели аналогичного периода прошлого года в 2,9 и 2,2 раза соответственно.</w:t>
      </w:r>
    </w:p>
    <w:p w14:paraId="0A2FB4B4" w14:textId="77777777" w:rsidR="001A2892" w:rsidRPr="003761A4" w:rsidRDefault="001A2892" w:rsidP="001A2892">
      <w:pPr>
        <w:autoSpaceDE w:val="0"/>
        <w:autoSpaceDN w:val="0"/>
        <w:adjustRightInd w:val="0"/>
        <w:spacing w:after="120"/>
        <w:ind w:firstLine="708"/>
        <w:rPr>
          <w:rFonts w:ascii="Times New Roman" w:hAnsi="Times New Roman"/>
          <w:sz w:val="24"/>
          <w:szCs w:val="24"/>
        </w:rPr>
      </w:pPr>
      <w:r w:rsidRPr="003761A4">
        <w:rPr>
          <w:rFonts w:ascii="Times New Roman" w:hAnsi="Times New Roman"/>
          <w:sz w:val="24"/>
          <w:szCs w:val="24"/>
        </w:rPr>
        <w:t>В 2022 году в СБП была реализована возможность осуществления трансграничных переводов между физическими лицами через иностранные банки – косвенные участники платежной системы Банка России, к системе подключены 14 иностранных банков из трех стран. В конце 2022 года были выполнены успешные пилотные трансграничные переводы между физическими лицами во взаимодействии СБП и аналогичной системы быстрых платежей одной из стран ЕАЭС.</w:t>
      </w:r>
    </w:p>
    <w:p w14:paraId="633419A2" w14:textId="77777777" w:rsidR="001A2892" w:rsidRPr="003761A4" w:rsidRDefault="001A2892" w:rsidP="001A2892">
      <w:pPr>
        <w:autoSpaceDE w:val="0"/>
        <w:autoSpaceDN w:val="0"/>
        <w:adjustRightInd w:val="0"/>
        <w:spacing w:after="120"/>
        <w:ind w:firstLine="708"/>
        <w:rPr>
          <w:rFonts w:ascii="Times New Roman" w:hAnsi="Times New Roman"/>
          <w:sz w:val="24"/>
          <w:szCs w:val="24"/>
        </w:rPr>
      </w:pPr>
      <w:r w:rsidRPr="003761A4">
        <w:rPr>
          <w:rFonts w:ascii="Times New Roman" w:hAnsi="Times New Roman"/>
          <w:sz w:val="24"/>
          <w:szCs w:val="24"/>
        </w:rPr>
        <w:t>В рамках совершенствования тарифного регулирования Совет директоров Банка России принял следующие решения:</w:t>
      </w:r>
    </w:p>
    <w:p w14:paraId="60C83730" w14:textId="2DAB194E" w:rsidR="001A2892" w:rsidRPr="003761A4" w:rsidRDefault="001A2892" w:rsidP="005E435A">
      <w:pPr>
        <w:pStyle w:val="a3"/>
        <w:numPr>
          <w:ilvl w:val="0"/>
          <w:numId w:val="37"/>
        </w:numPr>
        <w:autoSpaceDE w:val="0"/>
        <w:autoSpaceDN w:val="0"/>
        <w:adjustRightInd w:val="0"/>
        <w:spacing w:after="120"/>
        <w:rPr>
          <w:rFonts w:ascii="Times New Roman" w:hAnsi="Times New Roman" w:cs="Times New Roman"/>
          <w:sz w:val="24"/>
          <w:szCs w:val="24"/>
        </w:rPr>
      </w:pPr>
      <w:r w:rsidRPr="003761A4">
        <w:rPr>
          <w:rFonts w:ascii="Times New Roman" w:hAnsi="Times New Roman" w:cs="Times New Roman"/>
          <w:sz w:val="24"/>
          <w:szCs w:val="24"/>
        </w:rPr>
        <w:t>об установлении с 19.12.2022 новых тарифов на услуги Банка России для участников СБП по трансграничным переводам между физическими лицами, а также об установлении нулевой комиссии, взимаемой участниками СБП со своих клиентов – получателей трансграничных переводов между физическими лицами в СБП</w:t>
      </w:r>
      <w:r w:rsidR="005E435A" w:rsidRPr="003761A4">
        <w:rPr>
          <w:rStyle w:val="a8"/>
          <w:rFonts w:ascii="Times New Roman" w:hAnsi="Times New Roman"/>
          <w:sz w:val="24"/>
          <w:szCs w:val="24"/>
        </w:rPr>
        <w:footnoteReference w:id="47"/>
      </w:r>
      <w:r w:rsidRPr="003761A4">
        <w:rPr>
          <w:rFonts w:ascii="Times New Roman" w:hAnsi="Times New Roman" w:cs="Times New Roman"/>
          <w:sz w:val="24"/>
          <w:szCs w:val="24"/>
        </w:rPr>
        <w:t>;</w:t>
      </w:r>
    </w:p>
    <w:p w14:paraId="7BFA1662" w14:textId="130AFA4E" w:rsidR="001A2892" w:rsidRPr="003761A4" w:rsidRDefault="001A2892" w:rsidP="005E435A">
      <w:pPr>
        <w:pStyle w:val="a3"/>
        <w:numPr>
          <w:ilvl w:val="0"/>
          <w:numId w:val="37"/>
        </w:numPr>
        <w:autoSpaceDE w:val="0"/>
        <w:autoSpaceDN w:val="0"/>
        <w:adjustRightInd w:val="0"/>
        <w:spacing w:after="120"/>
        <w:rPr>
          <w:rFonts w:ascii="Times New Roman" w:hAnsi="Times New Roman" w:cs="Times New Roman"/>
          <w:sz w:val="24"/>
          <w:szCs w:val="24"/>
        </w:rPr>
      </w:pPr>
      <w:r w:rsidRPr="003761A4">
        <w:rPr>
          <w:rFonts w:ascii="Times New Roman" w:hAnsi="Times New Roman" w:cs="Times New Roman"/>
          <w:sz w:val="24"/>
          <w:szCs w:val="24"/>
        </w:rPr>
        <w:t>об установлении с 01.05.2023 пониженных тарифов и ставок при оплате жилищно-коммунальных услуг с использованием СБП (максимальный размер комиссий банков для предприятий торговли и услуг в указанной сфере снижен с 0,4% до 0,2% от суммы платежа, но не более 10 рублей за платеж)</w:t>
      </w:r>
      <w:r w:rsidR="005E435A" w:rsidRPr="003761A4">
        <w:rPr>
          <w:rStyle w:val="a8"/>
          <w:rFonts w:ascii="Times New Roman" w:hAnsi="Times New Roman"/>
          <w:sz w:val="24"/>
          <w:szCs w:val="24"/>
        </w:rPr>
        <w:footnoteReference w:id="48"/>
      </w:r>
      <w:r w:rsidR="005E435A" w:rsidRPr="003761A4">
        <w:rPr>
          <w:rFonts w:ascii="Times New Roman" w:hAnsi="Times New Roman" w:cs="Times New Roman"/>
          <w:sz w:val="24"/>
          <w:szCs w:val="24"/>
        </w:rPr>
        <w:t>.</w:t>
      </w:r>
    </w:p>
    <w:p w14:paraId="4439A7A9" w14:textId="77777777" w:rsidR="001A2892" w:rsidRPr="003761A4" w:rsidRDefault="001A2892" w:rsidP="001A2892">
      <w:pPr>
        <w:autoSpaceDE w:val="0"/>
        <w:autoSpaceDN w:val="0"/>
        <w:adjustRightInd w:val="0"/>
        <w:spacing w:after="120"/>
        <w:ind w:firstLine="708"/>
        <w:rPr>
          <w:rFonts w:ascii="Times New Roman" w:hAnsi="Times New Roman"/>
          <w:sz w:val="24"/>
          <w:szCs w:val="24"/>
        </w:rPr>
      </w:pPr>
      <w:r w:rsidRPr="003761A4">
        <w:rPr>
          <w:rFonts w:ascii="Times New Roman" w:hAnsi="Times New Roman"/>
          <w:sz w:val="24"/>
          <w:szCs w:val="24"/>
        </w:rPr>
        <w:t>Банком России также реализуется обеспечение информационной безопасности Системы быстрых платежей. На транспортном уровне обеспечена защита информационного обмена с использованием средств защиты информации, прошедших процедуру оценки соответствия требованиям, установленным федеральным органом исполнительной власти в области обеспечения безопасности в соответствии с Положением Банка России от 25.07.2022 № 802-П «О требованиях к защите информации в платежной системе Банка России» (ранее от 23.12.2020 № 747-П).</w:t>
      </w:r>
    </w:p>
    <w:p w14:paraId="42A7933D" w14:textId="6EF7A051" w:rsidR="0096737A" w:rsidRPr="003761A4" w:rsidRDefault="001A2892" w:rsidP="005E435A">
      <w:pPr>
        <w:autoSpaceDE w:val="0"/>
        <w:autoSpaceDN w:val="0"/>
        <w:adjustRightInd w:val="0"/>
        <w:spacing w:after="120"/>
        <w:ind w:firstLine="708"/>
        <w:rPr>
          <w:rFonts w:ascii="Times New Roman" w:hAnsi="Times New Roman" w:cs="Times New Roman"/>
          <w:b/>
          <w:sz w:val="24"/>
          <w:szCs w:val="24"/>
          <w:highlight w:val="yellow"/>
          <w:lang w:val="ky-KG"/>
        </w:rPr>
      </w:pPr>
      <w:r w:rsidRPr="003761A4">
        <w:rPr>
          <w:rFonts w:ascii="Times New Roman" w:hAnsi="Times New Roman"/>
          <w:sz w:val="24"/>
          <w:szCs w:val="24"/>
        </w:rPr>
        <w:t>По направлению трансграничных платежей СБП разработаны и внедрены процедуры формирования и распознавания контрольных значений операции, исключающих возможность искажения и подмены информации при осуществлении трансграничных платежей СБП.</w:t>
      </w:r>
    </w:p>
    <w:p w14:paraId="16B13751" w14:textId="59215908" w:rsidR="00654B43" w:rsidRPr="003761A4" w:rsidRDefault="00C83D7E" w:rsidP="00DB2F4B">
      <w:pPr>
        <w:pStyle w:val="3"/>
        <w:rPr>
          <w:rFonts w:ascii="Times New Roman" w:hAnsi="Times New Roman" w:cs="Times New Roman"/>
          <w:b/>
          <w:color w:val="auto"/>
        </w:rPr>
      </w:pPr>
      <w:r w:rsidRPr="003761A4">
        <w:rPr>
          <w:rFonts w:ascii="Times New Roman" w:hAnsi="Times New Roman" w:cs="Times New Roman"/>
          <w:b/>
          <w:color w:val="auto"/>
        </w:rPr>
        <w:t>Республика Таджикистан</w:t>
      </w:r>
    </w:p>
    <w:p w14:paraId="169E8879" w14:textId="1CC7E215" w:rsidR="00687E9A" w:rsidRPr="003761A4" w:rsidRDefault="00687E9A" w:rsidP="00687E9A">
      <w:pPr>
        <w:rPr>
          <w:rFonts w:ascii="Times New Roman" w:hAnsi="Times New Roman" w:cs="Times New Roman"/>
          <w:sz w:val="24"/>
          <w:szCs w:val="24"/>
        </w:rPr>
      </w:pPr>
      <w:r w:rsidRPr="003761A4">
        <w:rPr>
          <w:rFonts w:ascii="Times New Roman" w:hAnsi="Times New Roman" w:cs="Times New Roman"/>
          <w:sz w:val="24"/>
          <w:szCs w:val="24"/>
        </w:rPr>
        <w:t>Цифровизация финансовых услуг является одним из важных направлений в процессе совершенствования инфраструктуры банковского сектора.   Национальный   банк   Таджикистана   с   целью   предоставления регуляторной основы для развития дистанционных услуг принял Инструкцию №255 «О порядке предоставления кредита и начисления процента в кредитных организациях» и внес изменения и дополнения в Инструкцию №171 «О порядке открытия, переоформления и закрытия банковских счетов кредитными финансовыми организациями в Республике Таджикистан», что позволяет открывать банковские счета и предоставлять кредиты дистанционно, что в свою очередь, содействует упрощению предоставления банковских услуг.</w:t>
      </w:r>
    </w:p>
    <w:p w14:paraId="5AE64021" w14:textId="16B8979B" w:rsidR="00687E9A" w:rsidRPr="003761A4" w:rsidRDefault="00687E9A" w:rsidP="00687E9A">
      <w:pPr>
        <w:rPr>
          <w:rFonts w:ascii="Times New Roman" w:hAnsi="Times New Roman" w:cs="Times New Roman"/>
          <w:sz w:val="24"/>
          <w:szCs w:val="24"/>
        </w:rPr>
      </w:pPr>
      <w:r w:rsidRPr="003761A4">
        <w:rPr>
          <w:rFonts w:ascii="Times New Roman" w:hAnsi="Times New Roman" w:cs="Times New Roman"/>
          <w:sz w:val="24"/>
          <w:szCs w:val="24"/>
        </w:rPr>
        <w:t>В соответствии с задачами процесса реформирования банковской системы страны продолжается внедрение принципов исламского банкинга, идёт плановая работа по совершенствованию нормативной правовой базы. Так, с этой целью, в 2022 году Национальным банком Таджикистана были утверждены следующие нормативные правовые документы:</w:t>
      </w:r>
    </w:p>
    <w:p w14:paraId="4E371857" w14:textId="77777777" w:rsidR="00687E9A" w:rsidRPr="003761A4" w:rsidRDefault="00687E9A" w:rsidP="00687E9A">
      <w:pPr>
        <w:rPr>
          <w:rFonts w:ascii="Times New Roman" w:hAnsi="Times New Roman" w:cs="Times New Roman"/>
          <w:sz w:val="24"/>
          <w:szCs w:val="24"/>
        </w:rPr>
      </w:pPr>
      <w:r w:rsidRPr="003761A4">
        <w:rPr>
          <w:rFonts w:ascii="Times New Roman" w:hAnsi="Times New Roman" w:cs="Times New Roman"/>
          <w:sz w:val="24"/>
          <w:szCs w:val="24"/>
        </w:rPr>
        <w:t>-</w:t>
      </w:r>
      <w:r w:rsidRPr="003761A4">
        <w:rPr>
          <w:rFonts w:ascii="Times New Roman" w:hAnsi="Times New Roman" w:cs="Times New Roman"/>
          <w:sz w:val="24"/>
          <w:szCs w:val="24"/>
        </w:rPr>
        <w:tab/>
        <w:t>в   целях    осуществления    контроля    деятельности    исламских</w:t>
      </w:r>
    </w:p>
    <w:p w14:paraId="32ADA017" w14:textId="77777777" w:rsidR="00687E9A" w:rsidRPr="003761A4" w:rsidRDefault="00687E9A" w:rsidP="00687E9A">
      <w:pPr>
        <w:rPr>
          <w:rFonts w:ascii="Times New Roman" w:hAnsi="Times New Roman" w:cs="Times New Roman"/>
          <w:sz w:val="24"/>
          <w:szCs w:val="24"/>
        </w:rPr>
      </w:pPr>
      <w:r w:rsidRPr="003761A4">
        <w:rPr>
          <w:rFonts w:ascii="Times New Roman" w:hAnsi="Times New Roman" w:cs="Times New Roman"/>
          <w:sz w:val="24"/>
          <w:szCs w:val="24"/>
        </w:rPr>
        <w:t>микрофинансовых организаций на основе принципов исламского финансирования, принята Инструкция №249 «О порядке регулирования деятельности исламских микрофинансовых организаций»;</w:t>
      </w:r>
    </w:p>
    <w:p w14:paraId="49E36E11" w14:textId="77777777" w:rsidR="00687E9A" w:rsidRPr="003761A4" w:rsidRDefault="00687E9A" w:rsidP="00687E9A">
      <w:pPr>
        <w:rPr>
          <w:rFonts w:ascii="Times New Roman" w:hAnsi="Times New Roman" w:cs="Times New Roman"/>
          <w:sz w:val="24"/>
          <w:szCs w:val="24"/>
        </w:rPr>
      </w:pPr>
      <w:r w:rsidRPr="003761A4">
        <w:rPr>
          <w:rFonts w:ascii="Times New Roman" w:hAnsi="Times New Roman" w:cs="Times New Roman"/>
          <w:sz w:val="24"/>
          <w:szCs w:val="24"/>
        </w:rPr>
        <w:t>-</w:t>
      </w:r>
      <w:r w:rsidRPr="003761A4">
        <w:rPr>
          <w:rFonts w:ascii="Times New Roman" w:hAnsi="Times New Roman" w:cs="Times New Roman"/>
          <w:sz w:val="24"/>
          <w:szCs w:val="24"/>
        </w:rPr>
        <w:tab/>
        <w:t>с целью минимизации кредитных рисков для исламских кредитных организаций была принята Инструкция №250 «О порядке формирования и использования резерва и фонда покрытия возможных потерь по активам исламских кредитных организаций».</w:t>
      </w:r>
    </w:p>
    <w:p w14:paraId="687CC9BE" w14:textId="6760D7EF" w:rsidR="00687E9A" w:rsidRPr="003761A4" w:rsidRDefault="00687E9A" w:rsidP="00687E9A">
      <w:pPr>
        <w:rPr>
          <w:rFonts w:ascii="Times New Roman" w:hAnsi="Times New Roman" w:cs="Times New Roman"/>
          <w:sz w:val="24"/>
          <w:szCs w:val="24"/>
        </w:rPr>
      </w:pPr>
      <w:r w:rsidRPr="003761A4">
        <w:rPr>
          <w:rFonts w:ascii="Times New Roman" w:hAnsi="Times New Roman" w:cs="Times New Roman"/>
          <w:sz w:val="24"/>
          <w:szCs w:val="24"/>
        </w:rPr>
        <w:t>Система кредитной отчетности является одним из важных компонентов в инфраструктуре банковского сектора и требует постоянного роста. Так, с целью обеспечения регуляторной базы, для функционирования деятельности бюро кредитных историй была разработана и принята Инструкция №253 «О квалификационных требованиях к учредителям и руководителям Бюро кредитных историй». Наравне с этим, была разработана Инструкция «О порядке, сроках и объемах предоставления информации со стороны Бюро кредитных историй Национальному банку Таджикистана» и ожидается, что она будет принята в первой половине 2023 года.</w:t>
      </w:r>
    </w:p>
    <w:p w14:paraId="1E3AA2F3" w14:textId="6B3D82ED" w:rsidR="00453A47" w:rsidRPr="003761A4" w:rsidRDefault="00687E9A" w:rsidP="00687E9A">
      <w:pPr>
        <w:rPr>
          <w:rFonts w:ascii="Times New Roman" w:hAnsi="Times New Roman" w:cs="Times New Roman"/>
          <w:sz w:val="24"/>
          <w:szCs w:val="24"/>
        </w:rPr>
      </w:pPr>
      <w:r w:rsidRPr="003761A4">
        <w:rPr>
          <w:rFonts w:ascii="Times New Roman" w:hAnsi="Times New Roman" w:cs="Times New Roman"/>
          <w:sz w:val="24"/>
          <w:szCs w:val="24"/>
        </w:rPr>
        <w:t>Также следует отметить, что в 2022 году с целью обеспечения защиты прав и интересов вкладчиков и укрепления доверия населения к банковской системе, были внесены соответствующие поправки в Закон PT «О страховании сбережений физических лиц». Согласно новым изменениям, которые вступят в силу во второй половине 2023 года, объектом страхования будут не только физические лица, но и индивидуальные предприниматели, юридические лица субъекта малого предпринимательства и часть некоммерческих организаций. Наравне с этим, размер возмещения по застрахованным депозитам и сбережениям будет увеличен до 35 000 сомони. Новые изменения также касаются инвестиционной функции фо</w:t>
      </w:r>
      <w:r w:rsidR="00334107" w:rsidRPr="003761A4">
        <w:rPr>
          <w:rFonts w:ascii="Times New Roman" w:hAnsi="Times New Roman" w:cs="Times New Roman"/>
          <w:sz w:val="24"/>
          <w:szCs w:val="24"/>
        </w:rPr>
        <w:t>н</w:t>
      </w:r>
      <w:r w:rsidRPr="003761A4">
        <w:rPr>
          <w:rFonts w:ascii="Times New Roman" w:hAnsi="Times New Roman" w:cs="Times New Roman"/>
          <w:sz w:val="24"/>
          <w:szCs w:val="24"/>
        </w:rPr>
        <w:t>да страхования сбережений и его права участия в процессе урегулирования деятельности кредитных организаций.</w:t>
      </w:r>
    </w:p>
    <w:p w14:paraId="6F6173BA" w14:textId="77777777" w:rsidR="00C83D7E" w:rsidRPr="003761A4" w:rsidRDefault="00C83D7E" w:rsidP="00687E9A">
      <w:pPr>
        <w:rPr>
          <w:rFonts w:ascii="Times New Roman" w:hAnsi="Times New Roman" w:cs="Times New Roman"/>
          <w:sz w:val="24"/>
          <w:szCs w:val="24"/>
        </w:rPr>
      </w:pPr>
    </w:p>
    <w:p w14:paraId="1E537A81" w14:textId="77777777" w:rsidR="00687E9A" w:rsidRPr="003761A4" w:rsidRDefault="00687E9A" w:rsidP="002507F9">
      <w:pPr>
        <w:rPr>
          <w:rFonts w:ascii="Times New Roman" w:hAnsi="Times New Roman" w:cs="Times New Roman"/>
          <w:b/>
          <w:sz w:val="24"/>
          <w:szCs w:val="24"/>
        </w:rPr>
      </w:pPr>
    </w:p>
    <w:p w14:paraId="52654310" w14:textId="4D0A2175" w:rsidR="00EF7D0C" w:rsidRPr="003761A4" w:rsidRDefault="00EF7D0C" w:rsidP="00A14C01">
      <w:pPr>
        <w:pStyle w:val="2"/>
        <w:rPr>
          <w:b/>
          <w:sz w:val="24"/>
          <w:szCs w:val="24"/>
          <w:u w:val="single"/>
        </w:rPr>
      </w:pPr>
      <w:r w:rsidRPr="003761A4">
        <w:rPr>
          <w:b/>
          <w:sz w:val="24"/>
          <w:szCs w:val="24"/>
          <w:u w:val="single"/>
        </w:rPr>
        <w:t>3. Мероприятия среднесрочного и долгосрочного характера, проводимые центральным (национальным) банком по обеспечению финансовой устойчивости</w:t>
      </w:r>
      <w:r w:rsidR="00550938" w:rsidRPr="003761A4">
        <w:rPr>
          <w:b/>
          <w:sz w:val="24"/>
          <w:szCs w:val="24"/>
          <w:u w:val="single"/>
        </w:rPr>
        <w:t>.</w:t>
      </w:r>
    </w:p>
    <w:p w14:paraId="07BBFA14" w14:textId="4D7EB4BB" w:rsidR="00573CF7" w:rsidRPr="003761A4" w:rsidRDefault="00573CF7" w:rsidP="00A14C01">
      <w:pPr>
        <w:pStyle w:val="3"/>
        <w:rPr>
          <w:rFonts w:ascii="Times New Roman" w:hAnsi="Times New Roman" w:cs="Times New Roman"/>
          <w:b/>
          <w:color w:val="auto"/>
          <w:lang w:val="ky-KG"/>
        </w:rPr>
      </w:pPr>
      <w:r w:rsidRPr="003761A4">
        <w:rPr>
          <w:rFonts w:ascii="Times New Roman" w:hAnsi="Times New Roman" w:cs="Times New Roman"/>
          <w:b/>
          <w:color w:val="auto"/>
          <w:lang w:val="ky-KG"/>
        </w:rPr>
        <w:t>Республика Армения.</w:t>
      </w:r>
    </w:p>
    <w:p w14:paraId="6DC2D3F4" w14:textId="77777777" w:rsidR="00FC75D8" w:rsidRPr="003761A4" w:rsidRDefault="00FC75D8" w:rsidP="00FC75D8">
      <w:pPr>
        <w:spacing w:after="120"/>
        <w:rPr>
          <w:rFonts w:ascii="Times New Roman" w:hAnsi="Times New Roman" w:cs="Times New Roman"/>
          <w:sz w:val="24"/>
          <w:szCs w:val="24"/>
          <w:lang w:val="ky-KG"/>
        </w:rPr>
      </w:pPr>
      <w:r w:rsidRPr="003761A4">
        <w:rPr>
          <w:rFonts w:ascii="Times New Roman" w:hAnsi="Times New Roman" w:cs="Times New Roman"/>
          <w:sz w:val="24"/>
          <w:szCs w:val="24"/>
          <w:lang w:val="ky-KG"/>
        </w:rPr>
        <w:t>В последние годы макропруденциальная политика Центрального банка Армении была направлена на устранение возможного накопления системного риска в финансовой системе, создавая тем самым предпосылки для долгосрочной финансовой стабильности.</w:t>
      </w:r>
    </w:p>
    <w:p w14:paraId="664A37C4" w14:textId="77777777" w:rsidR="00FC75D8" w:rsidRPr="003761A4" w:rsidRDefault="00FC75D8" w:rsidP="00FC75D8">
      <w:pPr>
        <w:spacing w:after="120"/>
        <w:rPr>
          <w:rFonts w:ascii="Times New Roman" w:hAnsi="Times New Roman" w:cs="Times New Roman"/>
          <w:sz w:val="24"/>
          <w:szCs w:val="24"/>
          <w:lang w:val="ky-KG"/>
        </w:rPr>
      </w:pPr>
      <w:r w:rsidRPr="003761A4">
        <w:rPr>
          <w:rFonts w:ascii="Times New Roman" w:hAnsi="Times New Roman" w:cs="Times New Roman"/>
          <w:sz w:val="24"/>
          <w:szCs w:val="24"/>
          <w:lang w:val="ky-KG"/>
        </w:rPr>
        <w:t>В частности, с этой целью были введены следующие инструменты макропруденциальной политики: контрциклический буфер капитала, консервационный буфер капитала и буфер, предназначенный для системообразующих банков, а также максимальный предел соотношения кредит/залог (Loan-to-value ratio), который направлен на накопление рисков на рынке недвижимости и ипотечного кредитования․</w:t>
      </w:r>
    </w:p>
    <w:p w14:paraId="484A4B6B" w14:textId="77777777" w:rsidR="00FC75D8" w:rsidRPr="003761A4" w:rsidRDefault="00FC75D8" w:rsidP="00FC75D8">
      <w:pPr>
        <w:spacing w:after="120"/>
        <w:rPr>
          <w:rFonts w:ascii="Times New Roman" w:hAnsi="Times New Roman" w:cs="Times New Roman"/>
          <w:sz w:val="24"/>
          <w:szCs w:val="24"/>
          <w:lang w:val="ky-KG"/>
        </w:rPr>
      </w:pPr>
      <w:r w:rsidRPr="003761A4">
        <w:rPr>
          <w:rFonts w:ascii="Times New Roman" w:hAnsi="Times New Roman" w:cs="Times New Roman"/>
          <w:sz w:val="24"/>
          <w:szCs w:val="24"/>
          <w:lang w:val="ky-KG"/>
        </w:rPr>
        <w:t>В течение 2022 года Центральный банк дважды повышал ставку контрциклического буфера, увеличив его до 1% в 3-м квартале и еще на 0,5% в следующем квартале.</w:t>
      </w:r>
    </w:p>
    <w:p w14:paraId="26A2C57B" w14:textId="653C3351" w:rsidR="00573CF7" w:rsidRPr="003761A4" w:rsidRDefault="00FC75D8" w:rsidP="00FC75D8">
      <w:pPr>
        <w:spacing w:after="120"/>
        <w:rPr>
          <w:rFonts w:ascii="Times New Roman" w:hAnsi="Times New Roman" w:cs="Times New Roman"/>
          <w:sz w:val="24"/>
          <w:szCs w:val="24"/>
          <w:lang w:val="ky-KG"/>
        </w:rPr>
      </w:pPr>
      <w:r w:rsidRPr="003761A4">
        <w:rPr>
          <w:rFonts w:ascii="Times New Roman" w:hAnsi="Times New Roman" w:cs="Times New Roman"/>
          <w:sz w:val="24"/>
          <w:szCs w:val="24"/>
          <w:lang w:val="ky-KG"/>
        </w:rPr>
        <w:t>Что касается коэффициента LTV, то он начал применяться с апреля 2022 года. Следует отметить, что применение последнего дифференцировано по валютам (с более строгим ограничением для кредитов в иностранной валюте).</w:t>
      </w:r>
    </w:p>
    <w:p w14:paraId="79BAEF1F" w14:textId="77777777" w:rsidR="00A14C01" w:rsidRPr="003761A4" w:rsidRDefault="00A14C01" w:rsidP="00C83D7E">
      <w:pPr>
        <w:rPr>
          <w:rFonts w:ascii="Times New Roman" w:hAnsi="Times New Roman" w:cs="Times New Roman"/>
          <w:b/>
          <w:sz w:val="24"/>
          <w:szCs w:val="24"/>
          <w:lang w:val="ky-KG"/>
        </w:rPr>
      </w:pPr>
    </w:p>
    <w:p w14:paraId="27F42D87" w14:textId="2A778B5D" w:rsidR="0095131E" w:rsidRPr="003761A4" w:rsidRDefault="00C83D7E" w:rsidP="00A14C01">
      <w:pPr>
        <w:pStyle w:val="3"/>
        <w:rPr>
          <w:rFonts w:ascii="Times New Roman" w:hAnsi="Times New Roman" w:cs="Times New Roman"/>
          <w:b/>
          <w:color w:val="auto"/>
          <w:lang w:val="ky-KG"/>
        </w:rPr>
      </w:pPr>
      <w:r w:rsidRPr="003761A4">
        <w:rPr>
          <w:rFonts w:ascii="Times New Roman" w:hAnsi="Times New Roman" w:cs="Times New Roman"/>
          <w:b/>
          <w:color w:val="auto"/>
          <w:lang w:val="ky-KG"/>
        </w:rPr>
        <w:t>Республика Беларусь</w:t>
      </w:r>
    </w:p>
    <w:p w14:paraId="77367B28" w14:textId="77777777" w:rsidR="00C7566E" w:rsidRPr="003761A4" w:rsidRDefault="00C7566E" w:rsidP="00C7566E">
      <w:pPr>
        <w:rPr>
          <w:rFonts w:ascii="Times New Roman" w:hAnsi="Times New Roman" w:cs="Times New Roman"/>
          <w:sz w:val="24"/>
          <w:szCs w:val="24"/>
        </w:rPr>
      </w:pPr>
      <w:r w:rsidRPr="003761A4">
        <w:rPr>
          <w:rFonts w:ascii="Times New Roman" w:hAnsi="Times New Roman" w:cs="Times New Roman"/>
          <w:sz w:val="24"/>
          <w:szCs w:val="24"/>
        </w:rPr>
        <w:t xml:space="preserve">В 2022 году экономика Республики Беларусь находилась в сложных условиях функционирования, связанных с усилением санкционного давления и геополитического напряжения. В первой половине отчётного года ускорились инфляционные процессы в стране. Существенным вызовом для финансовой стабильности стали неустойчивость ресурсной базы банков и нарушение сберегательного поведения населения. </w:t>
      </w:r>
    </w:p>
    <w:p w14:paraId="001F9C5B" w14:textId="77777777" w:rsidR="00C7566E" w:rsidRPr="003761A4" w:rsidRDefault="00C7566E" w:rsidP="00C7566E">
      <w:pPr>
        <w:rPr>
          <w:rFonts w:ascii="Times New Roman" w:hAnsi="Times New Roman" w:cs="Times New Roman"/>
          <w:sz w:val="24"/>
          <w:szCs w:val="24"/>
        </w:rPr>
      </w:pPr>
      <w:r w:rsidRPr="003761A4">
        <w:rPr>
          <w:rFonts w:ascii="Times New Roman" w:hAnsi="Times New Roman" w:cs="Times New Roman"/>
          <w:sz w:val="24"/>
          <w:szCs w:val="24"/>
        </w:rPr>
        <w:t xml:space="preserve">В условиях значимых финансовых ограничений </w:t>
      </w:r>
      <w:proofErr w:type="spellStart"/>
      <w:r w:rsidRPr="003761A4">
        <w:rPr>
          <w:rFonts w:ascii="Times New Roman" w:hAnsi="Times New Roman" w:cs="Times New Roman"/>
          <w:sz w:val="24"/>
          <w:szCs w:val="24"/>
        </w:rPr>
        <w:t>макропруденциальное</w:t>
      </w:r>
      <w:proofErr w:type="spellEnd"/>
      <w:r w:rsidRPr="003761A4">
        <w:rPr>
          <w:rFonts w:ascii="Times New Roman" w:hAnsi="Times New Roman" w:cs="Times New Roman"/>
          <w:sz w:val="24"/>
          <w:szCs w:val="24"/>
        </w:rPr>
        <w:t xml:space="preserve"> регулирование осуществлялось с учетом необходимости обеспечения финансовой поддержки белорусским производителям и помощи субъектам экономики в адаптации к новым экономическим реалиям. Усиление санкционного давления привело к множественным ограничительным мерам в отношении белорусского финансового сектора, санкциями были охвачены все сектора финансовой системы страны. Ряд традиционных рынков сбыта был закрыт для отечественных производителей, блокировались товарные потоки.</w:t>
      </w:r>
    </w:p>
    <w:p w14:paraId="57BDF50C" w14:textId="77777777" w:rsidR="00C7566E" w:rsidRPr="003761A4" w:rsidRDefault="00C7566E" w:rsidP="00C7566E">
      <w:pPr>
        <w:rPr>
          <w:rFonts w:ascii="Times New Roman" w:hAnsi="Times New Roman" w:cs="Times New Roman"/>
          <w:sz w:val="24"/>
          <w:szCs w:val="24"/>
        </w:rPr>
      </w:pPr>
      <w:r w:rsidRPr="003761A4">
        <w:rPr>
          <w:rFonts w:ascii="Times New Roman" w:hAnsi="Times New Roman" w:cs="Times New Roman"/>
          <w:sz w:val="24"/>
          <w:szCs w:val="24"/>
        </w:rPr>
        <w:t xml:space="preserve">В целях стабилизации кредитно-депозитного рынка, обеспечения кредитной поддержки экономики, противодействия формированию дисбалансов в кредитной активности действовала введенная в 2019 году система мер на основе расчетных величин стандартного риска (далее – РВСР). Являясь </w:t>
      </w:r>
      <w:proofErr w:type="spellStart"/>
      <w:r w:rsidRPr="003761A4">
        <w:rPr>
          <w:rFonts w:ascii="Times New Roman" w:hAnsi="Times New Roman" w:cs="Times New Roman"/>
          <w:sz w:val="24"/>
          <w:szCs w:val="24"/>
        </w:rPr>
        <w:t>макропруденциальным</w:t>
      </w:r>
      <w:proofErr w:type="spellEnd"/>
      <w:r w:rsidRPr="003761A4">
        <w:rPr>
          <w:rFonts w:ascii="Times New Roman" w:hAnsi="Times New Roman" w:cs="Times New Roman"/>
          <w:sz w:val="24"/>
          <w:szCs w:val="24"/>
        </w:rPr>
        <w:t xml:space="preserve"> инструментом, РВСР сигнализируют о повышенных рисках, принимаемых на себя банком. Индикатором этого служит превышение устанавливаемых банками процентных ставок по новым кредитам в национальной валюте над соответствующим верхним пределом уровня процентной ставки финансового инструмента по РВСР. Повышенные регуляторные требования в области достаточности капитала, формирования специальных резервов на покрытие возможных убытков применяются к тем банкам, которые в отчетном периоде устанавливали процентные ставки по новым кредитам в национальной валюте на уровне, превышающем РВСР.</w:t>
      </w:r>
    </w:p>
    <w:p w14:paraId="2D6EAAB9" w14:textId="77777777" w:rsidR="00C7566E" w:rsidRPr="003761A4" w:rsidRDefault="00C7566E" w:rsidP="00C7566E">
      <w:pPr>
        <w:rPr>
          <w:rFonts w:ascii="Times New Roman" w:hAnsi="Times New Roman" w:cs="Times New Roman"/>
          <w:sz w:val="24"/>
          <w:szCs w:val="24"/>
        </w:rPr>
      </w:pPr>
      <w:r w:rsidRPr="003761A4">
        <w:rPr>
          <w:rFonts w:ascii="Times New Roman" w:hAnsi="Times New Roman" w:cs="Times New Roman"/>
          <w:sz w:val="24"/>
          <w:szCs w:val="24"/>
        </w:rPr>
        <w:t xml:space="preserve">В период с марта по сентябрь 2022 года Национальный банк приостановил определение РВСР в связи с повышенным уровнем дисбалансов и высокой волатильностью различных показателей на финансовом рынке, что позволило банковскому сектору гибко реагировать на рост системных рисков. В результате адаптации банков к рыночной ситуации и постепенного возврата в состояние нормального функционирования с 12 сентября 2022 года Национальным банком было принято решение о возобновлении установления значений РВСР с целью последующего ограничения рисков, генерируемых </w:t>
      </w:r>
      <w:proofErr w:type="spellStart"/>
      <w:r w:rsidRPr="003761A4">
        <w:rPr>
          <w:rFonts w:ascii="Times New Roman" w:hAnsi="Times New Roman" w:cs="Times New Roman"/>
          <w:sz w:val="24"/>
          <w:szCs w:val="24"/>
        </w:rPr>
        <w:t>высокорисковыми</w:t>
      </w:r>
      <w:proofErr w:type="spellEnd"/>
      <w:r w:rsidRPr="003761A4">
        <w:rPr>
          <w:rFonts w:ascii="Times New Roman" w:hAnsi="Times New Roman" w:cs="Times New Roman"/>
          <w:sz w:val="24"/>
          <w:szCs w:val="24"/>
        </w:rPr>
        <w:t xml:space="preserve"> бизнес-моделями банков.</w:t>
      </w:r>
    </w:p>
    <w:p w14:paraId="09984983" w14:textId="77777777" w:rsidR="00C7566E" w:rsidRPr="003761A4" w:rsidRDefault="00C7566E" w:rsidP="00C7566E">
      <w:pPr>
        <w:rPr>
          <w:rFonts w:ascii="Times New Roman" w:hAnsi="Times New Roman" w:cs="Times New Roman"/>
          <w:sz w:val="24"/>
          <w:szCs w:val="24"/>
        </w:rPr>
      </w:pPr>
      <w:r w:rsidRPr="003761A4">
        <w:rPr>
          <w:rFonts w:ascii="Times New Roman" w:hAnsi="Times New Roman" w:cs="Times New Roman"/>
          <w:sz w:val="24"/>
          <w:szCs w:val="24"/>
        </w:rPr>
        <w:t xml:space="preserve">Важной задачей </w:t>
      </w:r>
      <w:proofErr w:type="spellStart"/>
      <w:r w:rsidRPr="003761A4">
        <w:rPr>
          <w:rFonts w:ascii="Times New Roman" w:hAnsi="Times New Roman" w:cs="Times New Roman"/>
          <w:sz w:val="24"/>
          <w:szCs w:val="24"/>
        </w:rPr>
        <w:t>макропруденциального</w:t>
      </w:r>
      <w:proofErr w:type="spellEnd"/>
      <w:r w:rsidRPr="003761A4">
        <w:rPr>
          <w:rFonts w:ascii="Times New Roman" w:hAnsi="Times New Roman" w:cs="Times New Roman"/>
          <w:sz w:val="24"/>
          <w:szCs w:val="24"/>
        </w:rPr>
        <w:t xml:space="preserve"> регулирования являлось противодействие системным кредитным рискам, находящихся под давлением беспрецедентного числа санкций в отношении Республики Беларусь и её основного торгового партнера – Российской Федерации. Доля необслуживаемых активов в 2022 году находилась в приемлемом диапазоне, чему во многом способствовали принятые </w:t>
      </w:r>
      <w:proofErr w:type="spellStart"/>
      <w:r w:rsidRPr="003761A4">
        <w:rPr>
          <w:rFonts w:ascii="Times New Roman" w:hAnsi="Times New Roman" w:cs="Times New Roman"/>
          <w:sz w:val="24"/>
          <w:szCs w:val="24"/>
        </w:rPr>
        <w:t>контрциклические</w:t>
      </w:r>
      <w:proofErr w:type="spellEnd"/>
      <w:r w:rsidRPr="003761A4">
        <w:rPr>
          <w:rFonts w:ascii="Times New Roman" w:hAnsi="Times New Roman" w:cs="Times New Roman"/>
          <w:sz w:val="24"/>
          <w:szCs w:val="24"/>
        </w:rPr>
        <w:t xml:space="preserve"> меры.  </w:t>
      </w:r>
    </w:p>
    <w:p w14:paraId="3248D2F3" w14:textId="77777777" w:rsidR="00C7566E" w:rsidRPr="003761A4" w:rsidRDefault="00C7566E" w:rsidP="00C7566E">
      <w:pPr>
        <w:rPr>
          <w:rFonts w:ascii="Times New Roman" w:hAnsi="Times New Roman" w:cs="Times New Roman"/>
          <w:sz w:val="24"/>
          <w:szCs w:val="24"/>
        </w:rPr>
      </w:pPr>
      <w:r w:rsidRPr="003761A4">
        <w:rPr>
          <w:rFonts w:ascii="Times New Roman" w:hAnsi="Times New Roman" w:cs="Times New Roman"/>
          <w:sz w:val="24"/>
          <w:szCs w:val="24"/>
        </w:rPr>
        <w:t>В целях предотвращения резких колебаний значений показателей эффективного и безопасного функционирования банков в случае ухудшения финансового состояния крупнейших должников банковского сектора либо нарушения ими сроков исполнения обязательств перед банками использовались повышенные веса рисков для учета задолженности системно значимых заемщиков при расчете достаточности нормативного капитала.</w:t>
      </w:r>
    </w:p>
    <w:p w14:paraId="2ED17C23" w14:textId="77777777" w:rsidR="00C7566E" w:rsidRPr="003761A4" w:rsidRDefault="00C7566E" w:rsidP="00C7566E">
      <w:pPr>
        <w:rPr>
          <w:rFonts w:ascii="Times New Roman" w:hAnsi="Times New Roman" w:cs="Times New Roman"/>
          <w:sz w:val="24"/>
          <w:szCs w:val="24"/>
        </w:rPr>
      </w:pPr>
      <w:proofErr w:type="spellStart"/>
      <w:r w:rsidRPr="003761A4">
        <w:rPr>
          <w:rFonts w:ascii="Times New Roman" w:hAnsi="Times New Roman" w:cs="Times New Roman"/>
          <w:sz w:val="24"/>
          <w:szCs w:val="24"/>
        </w:rPr>
        <w:t>Макропруденциальные</w:t>
      </w:r>
      <w:proofErr w:type="spellEnd"/>
      <w:r w:rsidRPr="003761A4">
        <w:rPr>
          <w:rFonts w:ascii="Times New Roman" w:hAnsi="Times New Roman" w:cs="Times New Roman"/>
          <w:sz w:val="24"/>
          <w:szCs w:val="24"/>
        </w:rPr>
        <w:t xml:space="preserve"> инструменты – показатель долговой нагрузки и показатель обеспеченности кредита – продолжили выступать сдерживающим фактором роста кредитного риска, обусловленного кредитованием банками физических лиц. Доля необслуживаемых активов физических лиц незначительно увеличилась на 0,08 процентного пункта до 0,66 процентов по итогам 2022 года. Уровень долговой нагрузки физических лиц сохранялся в приемлемых диапазонах.</w:t>
      </w:r>
    </w:p>
    <w:p w14:paraId="3594059C" w14:textId="77777777" w:rsidR="00C7566E" w:rsidRPr="003761A4" w:rsidRDefault="00C7566E" w:rsidP="00C7566E">
      <w:pPr>
        <w:rPr>
          <w:rFonts w:ascii="Times New Roman" w:hAnsi="Times New Roman" w:cs="Times New Roman"/>
          <w:sz w:val="24"/>
          <w:szCs w:val="24"/>
        </w:rPr>
      </w:pPr>
      <w:r w:rsidRPr="003761A4">
        <w:rPr>
          <w:rFonts w:ascii="Times New Roman" w:hAnsi="Times New Roman" w:cs="Times New Roman"/>
          <w:sz w:val="24"/>
          <w:szCs w:val="24"/>
        </w:rPr>
        <w:t>Установленное максимальное значение показателя долговой нагрузки является оптимальным в части ограничения кредитного риска, с одной стороны, и не создает препятствия для роста потребительского кредитования, сбалансированного с финансовой устойчивостью должника, с другой стороны. По оценке Национального банка, на 1 января 2023 г. средний показатель долговой нагрузки по всем потребительским кредитам составил 28,1 процента при допустимом уровне 40 процентов.</w:t>
      </w:r>
    </w:p>
    <w:p w14:paraId="0AA802AC" w14:textId="77777777" w:rsidR="00C7566E" w:rsidRPr="003761A4" w:rsidRDefault="00C7566E" w:rsidP="00C7566E">
      <w:pPr>
        <w:rPr>
          <w:rFonts w:ascii="Times New Roman" w:hAnsi="Times New Roman" w:cs="Times New Roman"/>
          <w:sz w:val="24"/>
          <w:szCs w:val="24"/>
        </w:rPr>
      </w:pPr>
      <w:r w:rsidRPr="003761A4">
        <w:rPr>
          <w:rFonts w:ascii="Times New Roman" w:hAnsi="Times New Roman" w:cs="Times New Roman"/>
          <w:sz w:val="24"/>
          <w:szCs w:val="24"/>
        </w:rPr>
        <w:t xml:space="preserve">Сбалансированный рост кредитования, сдерживаемый невысокой сберегательной активностью населения и ограниченным доступом к внешним источникам финансирования, не создавал предпосылок для нарастания системных рисков. Кредитный разрыв, представляющий собой отклонение текущего уровня кредитов от равновесного тренда, на протяжении 2022 года находился в приемлемом диапазоне. </w:t>
      </w:r>
      <w:proofErr w:type="spellStart"/>
      <w:r w:rsidRPr="003761A4">
        <w:rPr>
          <w:rFonts w:ascii="Times New Roman" w:hAnsi="Times New Roman" w:cs="Times New Roman"/>
          <w:sz w:val="24"/>
          <w:szCs w:val="24"/>
        </w:rPr>
        <w:t>Контрциклический</w:t>
      </w:r>
      <w:proofErr w:type="spellEnd"/>
      <w:r w:rsidRPr="003761A4">
        <w:rPr>
          <w:rFonts w:ascii="Times New Roman" w:hAnsi="Times New Roman" w:cs="Times New Roman"/>
          <w:sz w:val="24"/>
          <w:szCs w:val="24"/>
        </w:rPr>
        <w:t xml:space="preserve"> буфер капитала в 2022 году поддерживался на нулевом уровне.</w:t>
      </w:r>
    </w:p>
    <w:p w14:paraId="6A7B4185" w14:textId="77777777" w:rsidR="00C7566E" w:rsidRPr="003761A4" w:rsidRDefault="00C7566E" w:rsidP="00C7566E">
      <w:pPr>
        <w:rPr>
          <w:rFonts w:ascii="Times New Roman" w:hAnsi="Times New Roman" w:cs="Times New Roman"/>
          <w:sz w:val="24"/>
          <w:szCs w:val="24"/>
        </w:rPr>
      </w:pPr>
      <w:r w:rsidRPr="003761A4">
        <w:rPr>
          <w:rFonts w:ascii="Times New Roman" w:hAnsi="Times New Roman" w:cs="Times New Roman"/>
          <w:sz w:val="24"/>
          <w:szCs w:val="24"/>
        </w:rPr>
        <w:t xml:space="preserve">Дополнительные требования к капиталу в зависимости от масштаба деятельности банка, его значимости для экономики, а также взаимодействия с банками – резидентами и нерезидентами предъявляются посредством буфера системной значимости. Его значение </w:t>
      </w:r>
      <w:proofErr w:type="gramStart"/>
      <w:r w:rsidRPr="003761A4">
        <w:rPr>
          <w:rFonts w:ascii="Times New Roman" w:hAnsi="Times New Roman" w:cs="Times New Roman"/>
          <w:sz w:val="24"/>
          <w:szCs w:val="24"/>
        </w:rPr>
        <w:t>составляло  1</w:t>
      </w:r>
      <w:proofErr w:type="gramEnd"/>
      <w:r w:rsidRPr="003761A4">
        <w:rPr>
          <w:rFonts w:ascii="Times New Roman" w:hAnsi="Times New Roman" w:cs="Times New Roman"/>
          <w:sz w:val="24"/>
          <w:szCs w:val="24"/>
        </w:rPr>
        <w:t xml:space="preserve">,5 процентного пункта для системно значимых банков группы значимости I и 1 процентный пункт для системно значимых банков группы значимости II. </w:t>
      </w:r>
    </w:p>
    <w:p w14:paraId="158D7EA2" w14:textId="77777777" w:rsidR="00C7566E" w:rsidRPr="003761A4" w:rsidRDefault="00C7566E" w:rsidP="00C7566E">
      <w:pPr>
        <w:rPr>
          <w:rFonts w:ascii="Times New Roman" w:hAnsi="Times New Roman" w:cs="Times New Roman"/>
          <w:sz w:val="24"/>
          <w:szCs w:val="24"/>
        </w:rPr>
      </w:pPr>
      <w:r w:rsidRPr="003761A4">
        <w:rPr>
          <w:rFonts w:ascii="Times New Roman" w:hAnsi="Times New Roman" w:cs="Times New Roman"/>
          <w:sz w:val="24"/>
          <w:szCs w:val="24"/>
        </w:rPr>
        <w:t xml:space="preserve">Несмотря на все вызовы, финансовый сектор обеспечивал непрерывное, бесперебойное и надежное предоставление финансовых услуг. На валютном рынке наблюдалась формирование чистого предложения иностранной валюты. Повышенный уровень ставок в </w:t>
      </w:r>
    </w:p>
    <w:p w14:paraId="703FD53B" w14:textId="77777777" w:rsidR="00C7566E" w:rsidRPr="003761A4" w:rsidRDefault="00C7566E" w:rsidP="00C7566E">
      <w:pPr>
        <w:rPr>
          <w:rFonts w:ascii="Times New Roman" w:hAnsi="Times New Roman" w:cs="Times New Roman"/>
          <w:sz w:val="24"/>
          <w:szCs w:val="24"/>
        </w:rPr>
      </w:pPr>
      <w:r w:rsidRPr="003761A4">
        <w:rPr>
          <w:rFonts w:ascii="Times New Roman" w:hAnsi="Times New Roman" w:cs="Times New Roman"/>
          <w:sz w:val="24"/>
          <w:szCs w:val="24"/>
        </w:rPr>
        <w:t xml:space="preserve">2022 году по депозитам в национальной валюте на фоне стабилизации ситуации на валютном рынке позволил нарастить их объем. Банковский сектор сохранял устойчивость работы, соблюдались основные нормативы безопасного функционирования банков, чему во многом способствовали принятые </w:t>
      </w:r>
      <w:proofErr w:type="spellStart"/>
      <w:r w:rsidRPr="003761A4">
        <w:rPr>
          <w:rFonts w:ascii="Times New Roman" w:hAnsi="Times New Roman" w:cs="Times New Roman"/>
          <w:sz w:val="24"/>
          <w:szCs w:val="24"/>
        </w:rPr>
        <w:t>контрциклические</w:t>
      </w:r>
      <w:proofErr w:type="spellEnd"/>
      <w:r w:rsidRPr="003761A4">
        <w:rPr>
          <w:rFonts w:ascii="Times New Roman" w:hAnsi="Times New Roman" w:cs="Times New Roman"/>
          <w:sz w:val="24"/>
          <w:szCs w:val="24"/>
        </w:rPr>
        <w:t xml:space="preserve"> меры. Обеспечивалась непрерывность функционирования всех платежных систем, в том числе розничных. </w:t>
      </w:r>
    </w:p>
    <w:p w14:paraId="0738085C" w14:textId="77777777" w:rsidR="0005702A" w:rsidRPr="003761A4" w:rsidRDefault="0005702A" w:rsidP="0095131E">
      <w:pPr>
        <w:contextualSpacing/>
        <w:rPr>
          <w:rFonts w:ascii="Times New Roman" w:eastAsia="Calibri" w:hAnsi="Times New Roman" w:cs="Times New Roman"/>
          <w:sz w:val="24"/>
          <w:szCs w:val="24"/>
        </w:rPr>
      </w:pPr>
    </w:p>
    <w:p w14:paraId="40535BAC" w14:textId="38376194" w:rsidR="00CB0717" w:rsidRPr="003761A4" w:rsidRDefault="00C83D7E" w:rsidP="00C83D7E">
      <w:pPr>
        <w:pStyle w:val="3"/>
        <w:tabs>
          <w:tab w:val="left" w:pos="3544"/>
        </w:tabs>
        <w:rPr>
          <w:rFonts w:ascii="Times New Roman" w:hAnsi="Times New Roman" w:cs="Times New Roman"/>
          <w:b/>
          <w:color w:val="auto"/>
          <w:lang w:val="ky-KG"/>
        </w:rPr>
      </w:pPr>
      <w:r w:rsidRPr="003761A4">
        <w:rPr>
          <w:rFonts w:ascii="Times New Roman" w:hAnsi="Times New Roman" w:cs="Times New Roman"/>
          <w:b/>
          <w:color w:val="auto"/>
          <w:lang w:val="ky-KG"/>
        </w:rPr>
        <w:t>Республика Казахстан</w:t>
      </w:r>
    </w:p>
    <w:p w14:paraId="22CE64B0" w14:textId="77777777" w:rsidR="006319B3" w:rsidRPr="003761A4" w:rsidRDefault="006319B3" w:rsidP="006319B3">
      <w:pPr>
        <w:contextualSpacing/>
        <w:rPr>
          <w:rFonts w:ascii="Times New Roman" w:hAnsi="Times New Roman"/>
          <w:sz w:val="24"/>
          <w:szCs w:val="24"/>
          <w:lang w:val="ky-KG"/>
        </w:rPr>
      </w:pPr>
      <w:r w:rsidRPr="003761A4">
        <w:rPr>
          <w:rFonts w:ascii="Times New Roman" w:hAnsi="Times New Roman"/>
          <w:sz w:val="24"/>
          <w:szCs w:val="24"/>
          <w:lang w:val="ky-KG"/>
        </w:rPr>
        <w:t xml:space="preserve">В целях определения потенциальных рисков банковского сектора Агентством на ежегодной основе осуществляется оценка качества активов (AQR) и надзорное стресс-тестирование (НСТ). </w:t>
      </w:r>
    </w:p>
    <w:p w14:paraId="62F9842F" w14:textId="77777777" w:rsidR="006319B3" w:rsidRPr="003761A4" w:rsidRDefault="006319B3" w:rsidP="006319B3">
      <w:pPr>
        <w:contextualSpacing/>
        <w:rPr>
          <w:rFonts w:ascii="Times New Roman" w:hAnsi="Times New Roman"/>
          <w:sz w:val="24"/>
          <w:szCs w:val="24"/>
          <w:lang w:val="ky-KG"/>
        </w:rPr>
      </w:pPr>
      <w:r w:rsidRPr="003761A4">
        <w:rPr>
          <w:rFonts w:ascii="Times New Roman" w:hAnsi="Times New Roman"/>
          <w:sz w:val="24"/>
          <w:szCs w:val="24"/>
          <w:lang w:val="ky-KG"/>
        </w:rPr>
        <w:t>Регулярный AQR нацелен на оценку реального качества активов банков, уровня неработающих активов и ожидаемых кредитных убытков по кредитному портфелю, а НСТ на оценку подверженности банков потенциальным рискам в стрессовых сценариях. Результаты AQR, в том числе коэффициент достаточности капитала используются в качестве стартовой точки для НСТ.</w:t>
      </w:r>
    </w:p>
    <w:p w14:paraId="1950ED85" w14:textId="77777777" w:rsidR="006319B3" w:rsidRPr="003761A4" w:rsidRDefault="006319B3" w:rsidP="006319B3">
      <w:pPr>
        <w:contextualSpacing/>
        <w:rPr>
          <w:rFonts w:ascii="Times New Roman" w:hAnsi="Times New Roman"/>
          <w:sz w:val="24"/>
          <w:szCs w:val="24"/>
          <w:lang w:val="ky-KG"/>
        </w:rPr>
      </w:pPr>
      <w:r w:rsidRPr="003761A4">
        <w:rPr>
          <w:rFonts w:ascii="Times New Roman" w:hAnsi="Times New Roman"/>
          <w:sz w:val="24"/>
          <w:szCs w:val="24"/>
          <w:lang w:val="ky-KG"/>
        </w:rPr>
        <w:t>Инструментарий регулярного AQR и НСТ позволяет Агентству своевременно выявлять риски банков и применять меры, направленные на стимулирование банков оперативно их минимизировать.</w:t>
      </w:r>
    </w:p>
    <w:p w14:paraId="50B4D71D" w14:textId="77777777" w:rsidR="006319B3" w:rsidRPr="003761A4" w:rsidRDefault="006319B3" w:rsidP="006319B3">
      <w:pPr>
        <w:contextualSpacing/>
        <w:rPr>
          <w:rFonts w:ascii="Times New Roman" w:hAnsi="Times New Roman"/>
          <w:sz w:val="24"/>
          <w:szCs w:val="24"/>
          <w:lang w:val="ky-KG"/>
        </w:rPr>
      </w:pPr>
      <w:r w:rsidRPr="003761A4">
        <w:rPr>
          <w:rFonts w:ascii="Times New Roman" w:hAnsi="Times New Roman"/>
          <w:sz w:val="24"/>
          <w:szCs w:val="24"/>
          <w:lang w:val="ky-KG"/>
        </w:rPr>
        <w:t xml:space="preserve">AQR и НСТ 2022 года были проведены по 10 крупнейшим банкам, активы которых составляют 71% от активов банковского сектора. </w:t>
      </w:r>
    </w:p>
    <w:p w14:paraId="44AD5E88" w14:textId="77777777" w:rsidR="006319B3" w:rsidRPr="003761A4" w:rsidRDefault="006319B3" w:rsidP="006319B3">
      <w:pPr>
        <w:contextualSpacing/>
        <w:rPr>
          <w:rFonts w:ascii="Times New Roman" w:hAnsi="Times New Roman"/>
          <w:sz w:val="24"/>
          <w:szCs w:val="24"/>
          <w:lang w:val="ky-KG"/>
        </w:rPr>
      </w:pPr>
      <w:r w:rsidRPr="003761A4">
        <w:rPr>
          <w:rFonts w:ascii="Times New Roman" w:hAnsi="Times New Roman"/>
          <w:sz w:val="24"/>
          <w:szCs w:val="24"/>
          <w:lang w:val="ky-KG"/>
        </w:rPr>
        <w:t>По результатам AQR оценочное значение коэффициента достаточности собственного капитала банков-участников (k1) было снижено с 17,6% до 15,9%, а по результатам НСТ с 15,9% до 13,2% на конец 2023 года, что существенно выше нормативного пруденциального значения (7,5%).</w:t>
      </w:r>
    </w:p>
    <w:p w14:paraId="4A106FEE" w14:textId="77777777" w:rsidR="006319B3" w:rsidRPr="003761A4" w:rsidRDefault="006319B3" w:rsidP="006319B3">
      <w:pPr>
        <w:contextualSpacing/>
        <w:rPr>
          <w:rFonts w:ascii="Times New Roman" w:hAnsi="Times New Roman"/>
          <w:sz w:val="24"/>
          <w:szCs w:val="24"/>
          <w:lang w:val="ky-KG"/>
        </w:rPr>
      </w:pPr>
      <w:r w:rsidRPr="003761A4">
        <w:rPr>
          <w:rFonts w:ascii="Times New Roman" w:hAnsi="Times New Roman"/>
          <w:sz w:val="24"/>
          <w:szCs w:val="24"/>
          <w:lang w:val="ky-KG"/>
        </w:rPr>
        <w:t>Таким образом, достаточность капитала банков-участников в стрессовом сценарии осталась на приемлемом уровне.</w:t>
      </w:r>
    </w:p>
    <w:p w14:paraId="73A2E635" w14:textId="77777777" w:rsidR="006319B3" w:rsidRPr="003761A4" w:rsidRDefault="006319B3" w:rsidP="006319B3">
      <w:pPr>
        <w:contextualSpacing/>
        <w:rPr>
          <w:rFonts w:ascii="Times New Roman" w:hAnsi="Times New Roman"/>
          <w:sz w:val="24"/>
          <w:szCs w:val="24"/>
          <w:lang w:val="ky-KG"/>
        </w:rPr>
      </w:pPr>
      <w:r w:rsidRPr="003761A4">
        <w:rPr>
          <w:rFonts w:ascii="Times New Roman" w:hAnsi="Times New Roman"/>
          <w:sz w:val="24"/>
          <w:szCs w:val="24"/>
          <w:lang w:val="ky-KG"/>
        </w:rPr>
        <w:t>В течение 2023 года Агентство продолжит реализацию AQR и НСТ по расширенному списку банков. С конца февраля 2023 года Агентством проводится очередной регулярный AQR по крупным банкам с покрытием 84% активов и 85% ссудного портфеля банковского сектора и начиная с сентября т. г. после получения результатов AQR планируется проведение НСТ до конца 2023 года.</w:t>
      </w:r>
    </w:p>
    <w:p w14:paraId="4B667CE9" w14:textId="77777777" w:rsidR="006319B3" w:rsidRPr="003761A4" w:rsidRDefault="006319B3" w:rsidP="006319B3">
      <w:pPr>
        <w:contextualSpacing/>
        <w:rPr>
          <w:rFonts w:ascii="Times New Roman" w:hAnsi="Times New Roman"/>
          <w:sz w:val="24"/>
          <w:szCs w:val="24"/>
          <w:lang w:val="ky-KG"/>
        </w:rPr>
      </w:pPr>
      <w:r w:rsidRPr="003761A4">
        <w:rPr>
          <w:rFonts w:ascii="Times New Roman" w:hAnsi="Times New Roman"/>
          <w:sz w:val="24"/>
          <w:szCs w:val="24"/>
          <w:lang w:val="ky-KG"/>
        </w:rPr>
        <w:t>В дополнение в течение 2022 года Агентством реализованы законодательные изменения для развития рынка стрессовых активов и увеличению их привлекательности для инвесторов. В 2023 году одним из важных приоритетов Агентства является создание законодательной базы для функционирования цифровых платформ, удовлетворяющим единым требованиям. На законодательном уровне будут установлены положения по обязательной продаже стрессовых активов на цифровой платформе и наделения Агентства полномочиями по установлению единых требований к цифровым платформам.</w:t>
      </w:r>
    </w:p>
    <w:p w14:paraId="35D2C1A6" w14:textId="77777777" w:rsidR="006319B3" w:rsidRPr="003761A4" w:rsidRDefault="006319B3" w:rsidP="006319B3">
      <w:pPr>
        <w:contextualSpacing/>
        <w:rPr>
          <w:rFonts w:ascii="Times New Roman" w:hAnsi="Times New Roman"/>
          <w:sz w:val="24"/>
          <w:szCs w:val="24"/>
          <w:lang w:val="ky-KG"/>
        </w:rPr>
      </w:pPr>
      <w:r w:rsidRPr="003761A4">
        <w:rPr>
          <w:rFonts w:ascii="Times New Roman" w:hAnsi="Times New Roman"/>
          <w:sz w:val="24"/>
          <w:szCs w:val="24"/>
          <w:lang w:val="ky-KG"/>
        </w:rPr>
        <w:t>На фоне возросших геополитических рисков и волатильности на финансовых рынках для обеспечения стабильности финансового рынка и поддержания привлекательности тенговых депозитов в 2022 году Национальным Банком совместно с Правительством Республики Казахстан разработана и принята Программа защиты тенговых вкладов  (далее – Программа) как срочная и временная антикризисная мера. Программа предполагала начисление единовременную компенсацию (премию) в размере 10% от суммы вкладов в тенге, соответствующих условиям Программы. Правилами выплаты компенсации (премии) по депозитам физических лиц в национальной валюте (тенге) (далее – Правила) определены критерии депозитов физических лиц, подлежащих выплате компенсации (премии).</w:t>
      </w:r>
    </w:p>
    <w:p w14:paraId="715BD053" w14:textId="77777777" w:rsidR="006319B3" w:rsidRPr="003761A4" w:rsidRDefault="006319B3" w:rsidP="006319B3">
      <w:pPr>
        <w:contextualSpacing/>
        <w:rPr>
          <w:rFonts w:ascii="Times New Roman" w:hAnsi="Times New Roman"/>
          <w:sz w:val="24"/>
          <w:szCs w:val="24"/>
          <w:lang w:val="ky-KG"/>
        </w:rPr>
      </w:pPr>
      <w:r w:rsidRPr="003761A4">
        <w:rPr>
          <w:rFonts w:ascii="Times New Roman" w:hAnsi="Times New Roman"/>
          <w:sz w:val="24"/>
          <w:szCs w:val="24"/>
          <w:lang w:val="ky-KG"/>
        </w:rPr>
        <w:t>В связи с обострением геополитической ситуации и существенно возросшим давлением на финансовый рынок реализация Программы является своевременным и необходимым механизмом нейтрализации рисков банковского сектора. Данная мера оказала положительное влияние на укрепление стабильности фондирования и сохранение ликвидности банковского сектора, а также повышение привлекательности тенговых депозитов, и была отмечена международным рейтинговым агентством Fitch как положительная мера по укреплению доверия к национальной валюте.</w:t>
      </w:r>
    </w:p>
    <w:p w14:paraId="58F0B431" w14:textId="6A53E3E1" w:rsidR="00CB0717" w:rsidRPr="003761A4" w:rsidRDefault="006319B3" w:rsidP="006319B3">
      <w:pPr>
        <w:contextualSpacing/>
        <w:rPr>
          <w:rFonts w:ascii="Times New Roman" w:eastAsia="Calibri" w:hAnsi="Times New Roman" w:cs="Times New Roman"/>
          <w:sz w:val="24"/>
          <w:szCs w:val="24"/>
        </w:rPr>
      </w:pPr>
      <w:r w:rsidRPr="003761A4">
        <w:rPr>
          <w:rFonts w:ascii="Times New Roman" w:hAnsi="Times New Roman"/>
          <w:sz w:val="24"/>
          <w:szCs w:val="24"/>
          <w:lang w:val="ky-KG"/>
        </w:rPr>
        <w:t>Также, для поддержания платежеспособных банков в случае наступления идиосинкратических шоков ликвидности, Национальный Банк в целях содействия обеспечения финансовой стабильности развивает механизм предоставления займов последней инстанции (далее – ЗПИ) . Механизм займов последней инстанции предполагает возможность получения платежеспособными банками экстренной ликвидности для предупреждения их потенциальных рисков. В рамках ЗПИ заем может быть предоставлен на краткосрочный период времени только под залог, пул которого может состоят из качественных рыночных и нерыночных активов.</w:t>
      </w:r>
    </w:p>
    <w:p w14:paraId="306EB4BE" w14:textId="77777777" w:rsidR="006319B3" w:rsidRPr="003761A4" w:rsidRDefault="006319B3" w:rsidP="0095131E">
      <w:pPr>
        <w:contextualSpacing/>
        <w:rPr>
          <w:rFonts w:ascii="Times New Roman" w:eastAsia="Calibri" w:hAnsi="Times New Roman" w:cs="Times New Roman"/>
          <w:b/>
          <w:sz w:val="24"/>
          <w:szCs w:val="24"/>
        </w:rPr>
      </w:pPr>
    </w:p>
    <w:p w14:paraId="419B7A4E" w14:textId="7D5C5895" w:rsidR="00611B41" w:rsidRPr="003761A4" w:rsidRDefault="00C83D7E" w:rsidP="00A14C01">
      <w:pPr>
        <w:pStyle w:val="3"/>
        <w:rPr>
          <w:rFonts w:ascii="Times New Roman" w:eastAsia="Calibri" w:hAnsi="Times New Roman" w:cs="Times New Roman"/>
          <w:b/>
          <w:color w:val="auto"/>
        </w:rPr>
      </w:pPr>
      <w:r w:rsidRPr="003761A4">
        <w:rPr>
          <w:rFonts w:ascii="Times New Roman" w:eastAsia="Calibri" w:hAnsi="Times New Roman" w:cs="Times New Roman"/>
          <w:b/>
          <w:color w:val="auto"/>
        </w:rPr>
        <w:t>Кыргызская Республика</w:t>
      </w:r>
    </w:p>
    <w:p w14:paraId="674AB551" w14:textId="77777777" w:rsidR="00895F68" w:rsidRPr="003761A4" w:rsidRDefault="00895F68" w:rsidP="00895F68">
      <w:pPr>
        <w:contextualSpacing/>
        <w:rPr>
          <w:rFonts w:ascii="Times New Roman" w:hAnsi="Times New Roman" w:cs="Times New Roman"/>
          <w:sz w:val="24"/>
        </w:rPr>
      </w:pPr>
      <w:r w:rsidRPr="003761A4">
        <w:rPr>
          <w:rFonts w:ascii="Times New Roman" w:hAnsi="Times New Roman" w:cs="Times New Roman"/>
          <w:sz w:val="24"/>
        </w:rPr>
        <w:t xml:space="preserve">В среднесрочном периоде разработка и реализация денежно-кредитной политики будут ориентированы на обеспечение ценовой стабильности и формирование благоприятной инфляционной среды, как одного из ключевых элементов макроэкономической стабильности для долгосрочного устойчивого экономического развития Кыргызской Республики. Целевым среднесрочным ориентиром денежно-кредитной политики будет удержание уровня инфляции в пределах 5-7 процентов. </w:t>
      </w:r>
    </w:p>
    <w:p w14:paraId="381AD9B0" w14:textId="77777777" w:rsidR="00895F68" w:rsidRPr="003761A4" w:rsidRDefault="00895F68" w:rsidP="00895F68">
      <w:pPr>
        <w:contextualSpacing/>
        <w:rPr>
          <w:rFonts w:ascii="Times New Roman" w:hAnsi="Times New Roman" w:cs="Times New Roman"/>
          <w:sz w:val="24"/>
        </w:rPr>
      </w:pPr>
      <w:r w:rsidRPr="003761A4">
        <w:rPr>
          <w:rFonts w:ascii="Times New Roman" w:hAnsi="Times New Roman" w:cs="Times New Roman"/>
          <w:sz w:val="24"/>
        </w:rPr>
        <w:t>Для реализации поставленной цели Национальный банк будет использовать широкий спектр имеющихся инструментов денежно-кредитной политики. Национальным банком будут направлены усилия на улучшение передачи воздействия мер денежно-кредитной политики на экономику страны, усиление процентного канала денежно-кредитной трансмиссии, повышение эффективности и гибкости инструментов денежно-кредитной политики, совершенствование аналитико-прогнозного инструментария, а также улучшение коммуникационной составляющей монетарной политики.</w:t>
      </w:r>
    </w:p>
    <w:p w14:paraId="00194C58" w14:textId="791E190A" w:rsidR="00895F68" w:rsidRPr="003761A4" w:rsidRDefault="00895F68" w:rsidP="00895F68">
      <w:pPr>
        <w:contextualSpacing/>
        <w:rPr>
          <w:rFonts w:ascii="Times New Roman" w:hAnsi="Times New Roman" w:cs="Times New Roman"/>
          <w:sz w:val="24"/>
        </w:rPr>
      </w:pPr>
      <w:r w:rsidRPr="003761A4">
        <w:rPr>
          <w:rFonts w:ascii="Times New Roman" w:hAnsi="Times New Roman" w:cs="Times New Roman"/>
          <w:sz w:val="24"/>
        </w:rPr>
        <w:t>Эффективное проведение денежно-кредитной позволит достичь ценовой стабильности, что обеспечит макроэкономическую и финансовую устойчивость страны.</w:t>
      </w:r>
    </w:p>
    <w:p w14:paraId="41674170" w14:textId="77777777" w:rsidR="00895F68" w:rsidRPr="003761A4" w:rsidRDefault="00895F68" w:rsidP="00895F68">
      <w:pPr>
        <w:contextualSpacing/>
        <w:rPr>
          <w:rFonts w:ascii="Times New Roman" w:hAnsi="Times New Roman" w:cs="Times New Roman"/>
          <w:sz w:val="24"/>
        </w:rPr>
      </w:pPr>
      <w:r w:rsidRPr="003761A4">
        <w:rPr>
          <w:rFonts w:ascii="Times New Roman" w:hAnsi="Times New Roman" w:cs="Times New Roman"/>
          <w:sz w:val="24"/>
        </w:rPr>
        <w:t>В целях оценки устойчивости банковской системы к различным экономическим сценариям Национальный банк Кыргызской Республики использует методы эконометрического моделирования, моделирования финансового прогноза и обратных стресс-тестов.</w:t>
      </w:r>
    </w:p>
    <w:p w14:paraId="31464C91" w14:textId="77777777" w:rsidR="00895F68" w:rsidRPr="003761A4" w:rsidRDefault="00895F68" w:rsidP="00895F68">
      <w:pPr>
        <w:contextualSpacing/>
        <w:rPr>
          <w:rFonts w:ascii="Times New Roman" w:hAnsi="Times New Roman" w:cs="Times New Roman"/>
          <w:sz w:val="24"/>
        </w:rPr>
      </w:pPr>
      <w:r w:rsidRPr="003761A4">
        <w:rPr>
          <w:rFonts w:ascii="Times New Roman" w:hAnsi="Times New Roman" w:cs="Times New Roman"/>
          <w:sz w:val="24"/>
        </w:rPr>
        <w:t>«Обратные» стресс-тестирования банковского сектора проводятся для определения чувствительности банковского сектора к следующим рискам:</w:t>
      </w:r>
    </w:p>
    <w:p w14:paraId="70F41936" w14:textId="77777777" w:rsidR="00895F68" w:rsidRPr="003761A4" w:rsidRDefault="00895F68" w:rsidP="00895F68">
      <w:pPr>
        <w:contextualSpacing/>
        <w:rPr>
          <w:rFonts w:ascii="Times New Roman" w:hAnsi="Times New Roman" w:cs="Times New Roman"/>
          <w:sz w:val="24"/>
        </w:rPr>
      </w:pPr>
      <w:r w:rsidRPr="003761A4">
        <w:rPr>
          <w:rFonts w:ascii="Times New Roman" w:hAnsi="Times New Roman" w:cs="Times New Roman"/>
          <w:sz w:val="24"/>
        </w:rPr>
        <w:t>•</w:t>
      </w:r>
      <w:r w:rsidRPr="003761A4">
        <w:rPr>
          <w:rFonts w:ascii="Times New Roman" w:hAnsi="Times New Roman" w:cs="Times New Roman"/>
          <w:sz w:val="24"/>
        </w:rPr>
        <w:tab/>
        <w:t>кредитный риск - максимально допустимая доля «работающих» кредитов в кредитном портфеле, которая при отнесении к категории «неработающих» кредитов может снизить коэффициент достаточности капитала до порогового уровня в 12 процентов;</w:t>
      </w:r>
    </w:p>
    <w:p w14:paraId="5F7811D8" w14:textId="77777777" w:rsidR="00895F68" w:rsidRPr="003761A4" w:rsidRDefault="00895F68" w:rsidP="00895F68">
      <w:pPr>
        <w:contextualSpacing/>
        <w:rPr>
          <w:rFonts w:ascii="Times New Roman" w:hAnsi="Times New Roman" w:cs="Times New Roman"/>
          <w:sz w:val="24"/>
        </w:rPr>
      </w:pPr>
      <w:r w:rsidRPr="003761A4">
        <w:rPr>
          <w:rFonts w:ascii="Times New Roman" w:hAnsi="Times New Roman" w:cs="Times New Roman"/>
          <w:sz w:val="24"/>
        </w:rPr>
        <w:t>•</w:t>
      </w:r>
      <w:r w:rsidRPr="003761A4">
        <w:rPr>
          <w:rFonts w:ascii="Times New Roman" w:hAnsi="Times New Roman" w:cs="Times New Roman"/>
          <w:sz w:val="24"/>
        </w:rPr>
        <w:tab/>
        <w:t>риск ликвидности – оценка запаса ликвидных активов, способных покрыть массовый отток депозитов от общего объема депозитной базы клиентов, не нарушая экономических нормативов Национального банка по текущей ликвидности (коэффициент ликвидности до порогового уровня 45 процентов);</w:t>
      </w:r>
    </w:p>
    <w:p w14:paraId="1C517498" w14:textId="77777777" w:rsidR="00895F68" w:rsidRPr="003761A4" w:rsidRDefault="00895F68" w:rsidP="00895F68">
      <w:pPr>
        <w:contextualSpacing/>
        <w:rPr>
          <w:rFonts w:ascii="Times New Roman" w:hAnsi="Times New Roman" w:cs="Times New Roman"/>
          <w:sz w:val="24"/>
        </w:rPr>
      </w:pPr>
      <w:r w:rsidRPr="003761A4">
        <w:rPr>
          <w:rFonts w:ascii="Times New Roman" w:hAnsi="Times New Roman" w:cs="Times New Roman"/>
          <w:sz w:val="24"/>
        </w:rPr>
        <w:t>•</w:t>
      </w:r>
      <w:r w:rsidRPr="003761A4">
        <w:rPr>
          <w:rFonts w:ascii="Times New Roman" w:hAnsi="Times New Roman" w:cs="Times New Roman"/>
          <w:sz w:val="24"/>
        </w:rPr>
        <w:tab/>
        <w:t>процентный риск: снижение средневзвешенной процентной ставки по кредитам, при котором коэффициент достаточности капитала сократится до порогового уровня;</w:t>
      </w:r>
    </w:p>
    <w:p w14:paraId="7BF2BEFC" w14:textId="77777777" w:rsidR="00895F68" w:rsidRPr="003761A4" w:rsidRDefault="00895F68" w:rsidP="00895F68">
      <w:pPr>
        <w:contextualSpacing/>
        <w:rPr>
          <w:rFonts w:ascii="Times New Roman" w:hAnsi="Times New Roman" w:cs="Times New Roman"/>
          <w:sz w:val="24"/>
        </w:rPr>
      </w:pPr>
      <w:r w:rsidRPr="003761A4">
        <w:rPr>
          <w:rFonts w:ascii="Times New Roman" w:hAnsi="Times New Roman" w:cs="Times New Roman"/>
          <w:sz w:val="24"/>
        </w:rPr>
        <w:t>•</w:t>
      </w:r>
      <w:r w:rsidRPr="003761A4">
        <w:rPr>
          <w:rFonts w:ascii="Times New Roman" w:hAnsi="Times New Roman" w:cs="Times New Roman"/>
          <w:sz w:val="24"/>
        </w:rPr>
        <w:tab/>
        <w:t>валютный риск (риск переоценки) - максимальный темп прироста обменного курса национальной валюты (сом) к доллару США, который повлияет на коэффициент достаточности капитала и чистую прибыль.</w:t>
      </w:r>
    </w:p>
    <w:p w14:paraId="2A95CC99" w14:textId="77777777" w:rsidR="00895F68" w:rsidRPr="003761A4" w:rsidRDefault="00895F68" w:rsidP="00895F68">
      <w:pPr>
        <w:contextualSpacing/>
        <w:rPr>
          <w:rFonts w:ascii="Times New Roman" w:hAnsi="Times New Roman" w:cs="Times New Roman"/>
          <w:sz w:val="24"/>
        </w:rPr>
      </w:pPr>
      <w:r w:rsidRPr="003761A4">
        <w:rPr>
          <w:rFonts w:ascii="Times New Roman" w:hAnsi="Times New Roman" w:cs="Times New Roman"/>
          <w:sz w:val="24"/>
        </w:rPr>
        <w:t>В 2022 году системные риски банковского сектора по итогам отчетного периода присутствовали и оценивались, как «умеренные». Банковский сектор имеет высокий уровень адекватности капитала, что свидетельствует о наличии потенциала для дальнейшего повышения уровня финансового посредничества, эффективности функционирования и обеспечения устойчивости банковского сектора в будущем.</w:t>
      </w:r>
    </w:p>
    <w:p w14:paraId="253DAC6C" w14:textId="4FD6D795" w:rsidR="00CB0717" w:rsidRPr="003761A4" w:rsidRDefault="00895F68" w:rsidP="00895F68">
      <w:pPr>
        <w:contextualSpacing/>
        <w:rPr>
          <w:rFonts w:ascii="Times New Roman" w:eastAsia="Calibri" w:hAnsi="Times New Roman" w:cs="Times New Roman"/>
          <w:sz w:val="24"/>
          <w:szCs w:val="24"/>
        </w:rPr>
      </w:pPr>
      <w:r w:rsidRPr="003761A4">
        <w:rPr>
          <w:rFonts w:ascii="Times New Roman" w:hAnsi="Times New Roman" w:cs="Times New Roman"/>
          <w:sz w:val="24"/>
        </w:rPr>
        <w:t>Результаты эконометрического моделирования, моделирования финансового прогноза и обратных стресс-тестов, по-прежнему, отражают наличие запаса финансовой прочности по итогам 2022 года и способность выдержать определенные макроэкономические шоки. При этом следует отметить, что значительная часть банковского сектора Кыргызской Республики в состоянии выдержать возможные комбинированные шоки.</w:t>
      </w:r>
    </w:p>
    <w:p w14:paraId="5ABF3C98" w14:textId="77777777" w:rsidR="00C83D7E" w:rsidRPr="003761A4" w:rsidRDefault="00C83D7E" w:rsidP="00E915BF">
      <w:pPr>
        <w:rPr>
          <w:rFonts w:ascii="Times New Roman" w:hAnsi="Times New Roman" w:cs="Times New Roman"/>
          <w:b/>
          <w:lang w:val="ky-KG"/>
        </w:rPr>
      </w:pPr>
    </w:p>
    <w:p w14:paraId="6264BBCA" w14:textId="780D3F71" w:rsidR="0095131E" w:rsidRPr="003761A4" w:rsidRDefault="00C83D7E" w:rsidP="00A14C01">
      <w:pPr>
        <w:pStyle w:val="3"/>
        <w:rPr>
          <w:rFonts w:ascii="Times New Roman" w:hAnsi="Times New Roman" w:cs="Times New Roman"/>
          <w:b/>
          <w:color w:val="auto"/>
          <w:lang w:val="ky-KG"/>
        </w:rPr>
      </w:pPr>
      <w:r w:rsidRPr="003761A4">
        <w:rPr>
          <w:rFonts w:ascii="Times New Roman" w:hAnsi="Times New Roman" w:cs="Times New Roman"/>
          <w:b/>
          <w:color w:val="auto"/>
          <w:lang w:val="ky-KG"/>
        </w:rPr>
        <w:t>Российская Федерация</w:t>
      </w:r>
    </w:p>
    <w:p w14:paraId="19D564F4" w14:textId="77777777" w:rsidR="0096737A" w:rsidRPr="003761A4" w:rsidRDefault="0096737A" w:rsidP="00C83D7E">
      <w:pPr>
        <w:pStyle w:val="af4"/>
        <w:spacing w:before="0" w:after="120" w:line="240" w:lineRule="auto"/>
        <w:ind w:firstLine="708"/>
        <w:rPr>
          <w:rFonts w:cs="Times New Roman"/>
          <w:color w:val="auto"/>
          <w:sz w:val="24"/>
          <w:szCs w:val="24"/>
        </w:rPr>
      </w:pPr>
      <w:r w:rsidRPr="003761A4">
        <w:rPr>
          <w:rFonts w:cs="Times New Roman"/>
          <w:color w:val="auto"/>
          <w:sz w:val="24"/>
          <w:szCs w:val="24"/>
        </w:rPr>
        <w:t xml:space="preserve">Новые вызовы ставят перед экономикой амбициозные задачи по структурной адаптации, для решения которых нужны </w:t>
      </w:r>
      <w:r w:rsidRPr="003761A4">
        <w:rPr>
          <w:rFonts w:cs="Times New Roman"/>
          <w:b/>
          <w:color w:val="auto"/>
          <w:sz w:val="24"/>
          <w:szCs w:val="24"/>
        </w:rPr>
        <w:t>новые подходы в области банковского регулирования</w:t>
      </w:r>
      <w:r w:rsidRPr="003761A4">
        <w:rPr>
          <w:rFonts w:cs="Times New Roman"/>
          <w:color w:val="auto"/>
          <w:sz w:val="24"/>
          <w:szCs w:val="24"/>
        </w:rPr>
        <w:t>. Банк России считает необходимым развивать регулирование таким образом, чтобы оно обеспечивало устойчивость финансовых институтов в период стрессов без значительного использования регуляторных послаблений и экстренных (не предусмотренных заранее) мер государственной поддержки. Регулирование должно стать более эффективным и учитывать новые вызовы для нашей экономики.</w:t>
      </w:r>
    </w:p>
    <w:p w14:paraId="2A8E9D70" w14:textId="77777777" w:rsidR="0096737A" w:rsidRPr="003761A4" w:rsidRDefault="0096737A" w:rsidP="0096737A">
      <w:pPr>
        <w:keepNext/>
        <w:spacing w:after="120"/>
        <w:ind w:firstLine="0"/>
        <w:rPr>
          <w:rFonts w:ascii="Times New Roman" w:hAnsi="Times New Roman" w:cs="Times New Roman"/>
          <w:b/>
          <w:sz w:val="24"/>
          <w:szCs w:val="24"/>
        </w:rPr>
      </w:pPr>
      <w:r w:rsidRPr="003761A4">
        <w:rPr>
          <w:rFonts w:ascii="Times New Roman" w:hAnsi="Times New Roman" w:cs="Times New Roman"/>
          <w:b/>
          <w:sz w:val="24"/>
          <w:szCs w:val="24"/>
        </w:rPr>
        <w:t>В 2023 году Банк России намерен:</w:t>
      </w:r>
    </w:p>
    <w:p w14:paraId="3C3A9F64" w14:textId="77777777" w:rsidR="0096737A" w:rsidRPr="003761A4" w:rsidRDefault="0096737A" w:rsidP="0096737A">
      <w:pPr>
        <w:pStyle w:val="a3"/>
        <w:numPr>
          <w:ilvl w:val="0"/>
          <w:numId w:val="34"/>
        </w:numPr>
        <w:spacing w:after="120"/>
        <w:ind w:left="567" w:hanging="567"/>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запустить пилотное регулирование для стимулирования кредитования проектов по обеспечению технологического суверенитета и структурной адаптации экономики. В зависимости от приоритетности проекта и его кредитного качества банки смогут использовать пониженные риск-веса;</w:t>
      </w:r>
    </w:p>
    <w:p w14:paraId="44B1E295" w14:textId="0B8A011F" w:rsidR="0096737A" w:rsidRPr="003761A4" w:rsidRDefault="006B10CF" w:rsidP="006B10CF">
      <w:pPr>
        <w:pStyle w:val="a3"/>
        <w:numPr>
          <w:ilvl w:val="0"/>
          <w:numId w:val="34"/>
        </w:numPr>
        <w:spacing w:after="120"/>
        <w:ind w:left="567" w:hanging="567"/>
        <w:rPr>
          <w:rFonts w:ascii="Times New Roman" w:eastAsia="Times New Roman" w:hAnsi="Times New Roman" w:cs="Times New Roman"/>
          <w:sz w:val="24"/>
          <w:szCs w:val="24"/>
          <w:lang w:eastAsia="ru-RU"/>
        </w:rPr>
      </w:pPr>
      <w:r w:rsidRPr="003761A4">
        <w:rPr>
          <w:rFonts w:ascii="Times New Roman" w:hAnsi="Times New Roman" w:cs="Times New Roman"/>
          <w:sz w:val="24"/>
          <w:szCs w:val="24"/>
        </w:rPr>
        <w:t>модернизировать подходы к регулированию открытых валютных позиций (ОВП) и изменить порядок расчета рыночного риска</w:t>
      </w:r>
      <w:r w:rsidR="0096737A" w:rsidRPr="003761A4">
        <w:rPr>
          <w:rFonts w:ascii="Times New Roman" w:eastAsia="Times New Roman" w:hAnsi="Times New Roman" w:cs="Times New Roman"/>
          <w:sz w:val="24"/>
          <w:szCs w:val="24"/>
          <w:lang w:eastAsia="ru-RU"/>
        </w:rPr>
        <w:t>, в том числе с учетом факторов</w:t>
      </w:r>
      <w:r w:rsidRPr="003761A4">
        <w:rPr>
          <w:rFonts w:ascii="Times New Roman" w:eastAsia="Times New Roman" w:hAnsi="Times New Roman" w:cs="Times New Roman"/>
          <w:sz w:val="24"/>
          <w:szCs w:val="24"/>
          <w:lang w:eastAsia="ru-RU"/>
        </w:rPr>
        <w:t xml:space="preserve"> риска</w:t>
      </w:r>
      <w:r w:rsidR="0096737A" w:rsidRPr="003761A4">
        <w:rPr>
          <w:rFonts w:ascii="Times New Roman" w:eastAsia="Times New Roman" w:hAnsi="Times New Roman" w:cs="Times New Roman"/>
          <w:sz w:val="24"/>
          <w:szCs w:val="24"/>
          <w:lang w:eastAsia="ru-RU"/>
        </w:rPr>
        <w:t xml:space="preserve">, реализовавшихся в 2022 году. </w:t>
      </w:r>
      <w:r w:rsidRPr="003761A4">
        <w:rPr>
          <w:rFonts w:ascii="Times New Roman" w:eastAsia="Times New Roman" w:hAnsi="Times New Roman" w:cs="Times New Roman"/>
          <w:sz w:val="24"/>
          <w:szCs w:val="24"/>
          <w:lang w:eastAsia="ru-RU"/>
        </w:rPr>
        <w:t xml:space="preserve">В рамках регулирования ОВП планируется установить новый лимит балансовой ОВП, повысить требования к качеству производных финансовых инструментов (ПФИ), признаваемых в целях снижения валютного риска (во избежание реализации рисков из-за неисполнения или </w:t>
      </w:r>
      <w:proofErr w:type="spellStart"/>
      <w:r w:rsidRPr="003761A4">
        <w:rPr>
          <w:rFonts w:ascii="Times New Roman" w:eastAsia="Times New Roman" w:hAnsi="Times New Roman" w:cs="Times New Roman"/>
          <w:sz w:val="24"/>
          <w:szCs w:val="24"/>
          <w:lang w:eastAsia="ru-RU"/>
        </w:rPr>
        <w:t>терминации</w:t>
      </w:r>
      <w:proofErr w:type="spellEnd"/>
      <w:r w:rsidRPr="003761A4">
        <w:rPr>
          <w:rFonts w:ascii="Times New Roman" w:eastAsia="Times New Roman" w:hAnsi="Times New Roman" w:cs="Times New Roman"/>
          <w:sz w:val="24"/>
          <w:szCs w:val="24"/>
          <w:lang w:eastAsia="ru-RU"/>
        </w:rPr>
        <w:t xml:space="preserve"> хеджирующих сделок). В регулировании рыночного риска будут отражены зеркальные с расчетом ОВП нормы в отношении ненадежных инструментов хеджирования рыночного риска</w:t>
      </w:r>
      <w:r w:rsidR="0096737A" w:rsidRPr="003761A4">
        <w:rPr>
          <w:rFonts w:ascii="Times New Roman" w:eastAsia="Times New Roman" w:hAnsi="Times New Roman" w:cs="Times New Roman"/>
          <w:sz w:val="24"/>
          <w:szCs w:val="24"/>
          <w:lang w:eastAsia="ru-RU"/>
        </w:rPr>
        <w:t>;</w:t>
      </w:r>
    </w:p>
    <w:p w14:paraId="703BE2FF" w14:textId="5FC5A7DF" w:rsidR="006B10CF" w:rsidRPr="003761A4" w:rsidRDefault="0096737A" w:rsidP="00C96604">
      <w:pPr>
        <w:pStyle w:val="a3"/>
        <w:numPr>
          <w:ilvl w:val="0"/>
          <w:numId w:val="34"/>
        </w:numPr>
        <w:spacing w:after="120"/>
        <w:ind w:left="567" w:hanging="567"/>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разработать новый национальный норматив краткосрочной ликвидности</w:t>
      </w:r>
      <w:r w:rsidR="006B10CF" w:rsidRPr="003761A4">
        <w:rPr>
          <w:rFonts w:ascii="Times New Roman" w:eastAsia="Times New Roman" w:hAnsi="Times New Roman" w:cs="Times New Roman"/>
          <w:sz w:val="24"/>
          <w:szCs w:val="24"/>
          <w:lang w:eastAsia="ru-RU"/>
        </w:rPr>
        <w:t xml:space="preserve"> (вместо норматива краткосрочной ликвидности по Базелю III и потенциально вместо норматива текущей ликвидности для всех универсальных банков). В новом нормативе будут отражены особенности национального финансового рынка, что обеспечит более точную оценку подверженности банков риску ликвидности</w:t>
      </w:r>
      <w:r w:rsidR="00C96604" w:rsidRPr="003761A4">
        <w:rPr>
          <w:rFonts w:ascii="Times New Roman" w:eastAsia="Times New Roman" w:hAnsi="Times New Roman" w:cs="Times New Roman"/>
          <w:sz w:val="24"/>
          <w:szCs w:val="24"/>
          <w:lang w:eastAsia="ru-RU"/>
        </w:rPr>
        <w:t>;</w:t>
      </w:r>
    </w:p>
    <w:p w14:paraId="11D55F23" w14:textId="2AF0E35F" w:rsidR="0096737A" w:rsidRPr="003761A4" w:rsidRDefault="00C96604" w:rsidP="0096737A">
      <w:pPr>
        <w:pStyle w:val="a3"/>
        <w:numPr>
          <w:ilvl w:val="0"/>
          <w:numId w:val="34"/>
        </w:numPr>
        <w:spacing w:after="120"/>
        <w:ind w:left="567" w:hanging="567"/>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поддержать</w:t>
      </w:r>
      <w:r w:rsidR="0096737A" w:rsidRPr="003761A4">
        <w:rPr>
          <w:rFonts w:ascii="Times New Roman" w:eastAsia="Times New Roman" w:hAnsi="Times New Roman" w:cs="Times New Roman"/>
          <w:sz w:val="24"/>
          <w:szCs w:val="24"/>
          <w:lang w:eastAsia="ru-RU"/>
        </w:rPr>
        <w:t xml:space="preserve"> предоставлени</w:t>
      </w:r>
      <w:r w:rsidRPr="003761A4">
        <w:rPr>
          <w:rFonts w:ascii="Times New Roman" w:eastAsia="Times New Roman" w:hAnsi="Times New Roman" w:cs="Times New Roman"/>
          <w:sz w:val="24"/>
          <w:szCs w:val="24"/>
          <w:lang w:eastAsia="ru-RU"/>
        </w:rPr>
        <w:t>е</w:t>
      </w:r>
      <w:r w:rsidR="0096737A" w:rsidRPr="003761A4">
        <w:rPr>
          <w:rFonts w:ascii="Times New Roman" w:eastAsia="Times New Roman" w:hAnsi="Times New Roman" w:cs="Times New Roman"/>
          <w:sz w:val="24"/>
          <w:szCs w:val="24"/>
          <w:lang w:eastAsia="ru-RU"/>
        </w:rPr>
        <w:t xml:space="preserve"> банкам с базовой лицензией права открывать корсчета в иностранных банках на постоянной основе и </w:t>
      </w:r>
      <w:r w:rsidRPr="003761A4">
        <w:rPr>
          <w:rFonts w:ascii="Times New Roman" w:eastAsia="Times New Roman" w:hAnsi="Times New Roman" w:cs="Times New Roman"/>
          <w:sz w:val="24"/>
          <w:szCs w:val="24"/>
          <w:lang w:eastAsia="ru-RU"/>
        </w:rPr>
        <w:t>провести</w:t>
      </w:r>
      <w:r w:rsidR="0096737A" w:rsidRPr="003761A4">
        <w:rPr>
          <w:rFonts w:ascii="Times New Roman" w:eastAsia="Times New Roman" w:hAnsi="Times New Roman" w:cs="Times New Roman"/>
          <w:sz w:val="24"/>
          <w:szCs w:val="24"/>
          <w:lang w:eastAsia="ru-RU"/>
        </w:rPr>
        <w:t xml:space="preserve"> дальнейш</w:t>
      </w:r>
      <w:r w:rsidRPr="003761A4">
        <w:rPr>
          <w:rFonts w:ascii="Times New Roman" w:eastAsia="Times New Roman" w:hAnsi="Times New Roman" w:cs="Times New Roman"/>
          <w:sz w:val="24"/>
          <w:szCs w:val="24"/>
          <w:lang w:eastAsia="ru-RU"/>
        </w:rPr>
        <w:t>ую</w:t>
      </w:r>
      <w:r w:rsidR="0096737A" w:rsidRPr="003761A4">
        <w:rPr>
          <w:rFonts w:ascii="Times New Roman" w:eastAsia="Times New Roman" w:hAnsi="Times New Roman" w:cs="Times New Roman"/>
          <w:sz w:val="24"/>
          <w:szCs w:val="24"/>
          <w:lang w:eastAsia="ru-RU"/>
        </w:rPr>
        <w:t xml:space="preserve"> настройк</w:t>
      </w:r>
      <w:r w:rsidRPr="003761A4">
        <w:rPr>
          <w:rFonts w:ascii="Times New Roman" w:eastAsia="Times New Roman" w:hAnsi="Times New Roman" w:cs="Times New Roman"/>
          <w:sz w:val="24"/>
          <w:szCs w:val="24"/>
          <w:lang w:eastAsia="ru-RU"/>
        </w:rPr>
        <w:t>у</w:t>
      </w:r>
      <w:r w:rsidR="0096737A" w:rsidRPr="003761A4">
        <w:rPr>
          <w:rFonts w:ascii="Times New Roman" w:eastAsia="Times New Roman" w:hAnsi="Times New Roman" w:cs="Times New Roman"/>
          <w:sz w:val="24"/>
          <w:szCs w:val="24"/>
          <w:lang w:eastAsia="ru-RU"/>
        </w:rPr>
        <w:t xml:space="preserve"> регулирования банков с базовой лицензией;</w:t>
      </w:r>
    </w:p>
    <w:p w14:paraId="41AF8E38" w14:textId="77777777" w:rsidR="0096737A" w:rsidRPr="003761A4" w:rsidRDefault="0096737A" w:rsidP="0096737A">
      <w:pPr>
        <w:pStyle w:val="a3"/>
        <w:numPr>
          <w:ilvl w:val="0"/>
          <w:numId w:val="34"/>
        </w:numPr>
        <w:spacing w:after="120"/>
        <w:ind w:left="567" w:hanging="567"/>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 xml:space="preserve">в фокусе надзорного внимания и регуляторной работы также остаются вопросы надзорной оценки и совершенствование ее инструментов, методология формирования резервов и расчета капитала, работа по раскрытию отчетности в условиях санкционных рисков (баланс интересов инвесторов и объемов раскрытия). </w:t>
      </w:r>
    </w:p>
    <w:p w14:paraId="06EFBF48" w14:textId="77777777" w:rsidR="0096737A" w:rsidRPr="003761A4" w:rsidRDefault="0096737A" w:rsidP="0096737A">
      <w:pPr>
        <w:ind w:firstLine="0"/>
        <w:rPr>
          <w:rFonts w:ascii="Times New Roman" w:eastAsia="Times New Roman" w:hAnsi="Times New Roman" w:cs="Times New Roman"/>
          <w:sz w:val="24"/>
          <w:szCs w:val="24"/>
          <w:lang w:eastAsia="ru-RU"/>
        </w:rPr>
      </w:pPr>
    </w:p>
    <w:p w14:paraId="3689E4D4" w14:textId="77777777" w:rsidR="0096737A" w:rsidRPr="003761A4" w:rsidRDefault="0096737A" w:rsidP="0096737A">
      <w:pPr>
        <w:ind w:firstLine="0"/>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ab/>
        <w:t>29 декабря 2022 года был опубликован Федеральный закон № 601-ФЗ</w:t>
      </w:r>
      <w:r w:rsidRPr="003761A4">
        <w:rPr>
          <w:rFonts w:ascii="Times New Roman" w:eastAsia="Times New Roman" w:hAnsi="Times New Roman" w:cs="Times New Roman"/>
          <w:sz w:val="24"/>
          <w:szCs w:val="24"/>
          <w:vertAlign w:val="superscript"/>
          <w:lang w:eastAsia="ru-RU"/>
        </w:rPr>
        <w:footnoteReference w:id="49"/>
      </w:r>
      <w:r w:rsidRPr="003761A4">
        <w:rPr>
          <w:rFonts w:ascii="Times New Roman" w:eastAsia="Times New Roman" w:hAnsi="Times New Roman" w:cs="Times New Roman"/>
          <w:sz w:val="24"/>
          <w:szCs w:val="24"/>
          <w:lang w:eastAsia="ru-RU"/>
        </w:rPr>
        <w:t>, устанавливающий в том числе обязанность кредитных организаций и микрофинансовых организаций рассчитывать ПДН в установленных Законом случаях, а также уведомлять заемщика в письменной форме о рисках, обусловленных высоким значением ПДН (свыше 50%). Закон вступит в силу с 1 января 2024 года.</w:t>
      </w:r>
    </w:p>
    <w:p w14:paraId="631C7148" w14:textId="77777777" w:rsidR="0096737A" w:rsidRPr="003761A4" w:rsidRDefault="0096737A" w:rsidP="0096737A">
      <w:pPr>
        <w:ind w:firstLine="0"/>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ab/>
        <w:t>Одновременно в целях более точной оценки ПДН Банк России обсуждает с банками возможность применения банками модельного подхода для оценки доходов при условии валидации моделей Банком России.</w:t>
      </w:r>
    </w:p>
    <w:p w14:paraId="5532AFF2" w14:textId="77777777" w:rsidR="0096737A" w:rsidRPr="003761A4" w:rsidRDefault="0096737A" w:rsidP="0096737A">
      <w:pPr>
        <w:ind w:firstLine="0"/>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ab/>
        <w:t xml:space="preserve">Кроме этого, в целях ограничения возможных рисков для заемщиков – физических лиц Банк России прорабатывает вопрос об урегулировании на законодательном уровне порядка изменения переменных процентных ставок и (или) сроков возврата кредита (займа), в том числе </w:t>
      </w:r>
      <w:proofErr w:type="gramStart"/>
      <w:r w:rsidRPr="003761A4">
        <w:rPr>
          <w:rFonts w:ascii="Times New Roman" w:eastAsia="Times New Roman" w:hAnsi="Times New Roman" w:cs="Times New Roman"/>
          <w:sz w:val="24"/>
          <w:szCs w:val="24"/>
          <w:lang w:eastAsia="ru-RU"/>
        </w:rPr>
        <w:t>обязательства</w:t>
      </w:r>
      <w:proofErr w:type="gramEnd"/>
      <w:r w:rsidRPr="003761A4">
        <w:rPr>
          <w:rFonts w:ascii="Times New Roman" w:eastAsia="Times New Roman" w:hAnsi="Times New Roman" w:cs="Times New Roman"/>
          <w:sz w:val="24"/>
          <w:szCs w:val="24"/>
          <w:lang w:eastAsia="ru-RU"/>
        </w:rPr>
        <w:t xml:space="preserve"> по которому обеспечены ипотекой. </w:t>
      </w:r>
    </w:p>
    <w:p w14:paraId="54ECBD11" w14:textId="77777777" w:rsidR="00654B43" w:rsidRPr="003761A4" w:rsidRDefault="00654B43" w:rsidP="00654B43">
      <w:pPr>
        <w:spacing w:after="120"/>
        <w:rPr>
          <w:rFonts w:ascii="Times New Roman" w:hAnsi="Times New Roman" w:cs="Times New Roman"/>
          <w:sz w:val="24"/>
          <w:szCs w:val="24"/>
          <w:highlight w:val="yellow"/>
        </w:rPr>
      </w:pPr>
    </w:p>
    <w:p w14:paraId="7B89AD38" w14:textId="760AE095" w:rsidR="00654B43" w:rsidRPr="003761A4" w:rsidRDefault="00C83D7E" w:rsidP="00A14C01">
      <w:pPr>
        <w:pStyle w:val="3"/>
        <w:rPr>
          <w:rFonts w:ascii="Times New Roman" w:hAnsi="Times New Roman" w:cs="Times New Roman"/>
          <w:b/>
          <w:color w:val="auto"/>
        </w:rPr>
      </w:pPr>
      <w:r w:rsidRPr="003761A4">
        <w:rPr>
          <w:rFonts w:ascii="Times New Roman" w:hAnsi="Times New Roman" w:cs="Times New Roman"/>
          <w:b/>
          <w:color w:val="auto"/>
        </w:rPr>
        <w:t>Республика Таджикистан</w:t>
      </w:r>
    </w:p>
    <w:p w14:paraId="61E3A7FB" w14:textId="77777777" w:rsidR="00F62DCC" w:rsidRPr="003761A4" w:rsidRDefault="00F62DCC" w:rsidP="00F62DCC">
      <w:pPr>
        <w:spacing w:after="5" w:line="247" w:lineRule="auto"/>
        <w:ind w:right="79"/>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С целью повышения эффективности управления банковские сектором, создания системы управления рисками, антикризисного управления и системы разрешения проблем, а также для привлечения инвестиций, был принят</w:t>
      </w:r>
    </w:p>
    <w:p w14:paraId="75B0277D" w14:textId="77777777" w:rsidR="00F62DCC" w:rsidRPr="003761A4" w:rsidRDefault="00F62DCC" w:rsidP="00F62DCC">
      <w:pPr>
        <w:spacing w:after="5" w:line="247" w:lineRule="auto"/>
        <w:ind w:right="79"/>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 xml:space="preserve">«Стратегический план по реформе банковской и страховой системы на 2020- 2023 годы». Согласно требованиям данного Плана, проведены реформы для эффективной реализации денежно-кредитной политики, улучшения управления монетарными рисками, обеспечения финансовой стабильности, обеспечения устойчивости финансовых показателей банковской системы, укрепления банковского надзора, </w:t>
      </w:r>
      <w:proofErr w:type="spellStart"/>
      <w:r w:rsidRPr="003761A4">
        <w:rPr>
          <w:rFonts w:ascii="Times New Roman" w:eastAsia="Times New Roman" w:hAnsi="Times New Roman" w:cs="Times New Roman"/>
          <w:sz w:val="24"/>
          <w:lang w:eastAsia="ru-RU"/>
        </w:rPr>
        <w:t>дедолларизации</w:t>
      </w:r>
      <w:proofErr w:type="spellEnd"/>
      <w:r w:rsidRPr="003761A4">
        <w:rPr>
          <w:rFonts w:ascii="Times New Roman" w:eastAsia="Times New Roman" w:hAnsi="Times New Roman" w:cs="Times New Roman"/>
          <w:sz w:val="24"/>
          <w:lang w:eastAsia="ru-RU"/>
        </w:rPr>
        <w:t xml:space="preserve"> экономики и повышения доверия населения к национальной валюте.</w:t>
      </w:r>
    </w:p>
    <w:p w14:paraId="01E7E86A" w14:textId="77777777" w:rsidR="00F62DCC" w:rsidRPr="003761A4" w:rsidRDefault="00F62DCC" w:rsidP="00F62DCC">
      <w:pPr>
        <w:spacing w:after="5" w:line="247" w:lineRule="auto"/>
        <w:ind w:right="79"/>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 xml:space="preserve">По реализации </w:t>
      </w:r>
      <w:proofErr w:type="spellStart"/>
      <w:r w:rsidRPr="003761A4">
        <w:rPr>
          <w:rFonts w:ascii="Times New Roman" w:eastAsia="Times New Roman" w:hAnsi="Times New Roman" w:cs="Times New Roman"/>
          <w:sz w:val="24"/>
          <w:lang w:eastAsia="ru-RU"/>
        </w:rPr>
        <w:t>макропруденциальной</w:t>
      </w:r>
      <w:proofErr w:type="spellEnd"/>
      <w:r w:rsidRPr="003761A4">
        <w:rPr>
          <w:rFonts w:ascii="Times New Roman" w:eastAsia="Times New Roman" w:hAnsi="Times New Roman" w:cs="Times New Roman"/>
          <w:sz w:val="24"/>
          <w:lang w:eastAsia="ru-RU"/>
        </w:rPr>
        <w:t xml:space="preserve"> политики продолжается активная</w:t>
      </w:r>
    </w:p>
    <w:p w14:paraId="38CBE3AE" w14:textId="77777777" w:rsidR="00F62DCC" w:rsidRPr="003761A4" w:rsidRDefault="00F62DCC" w:rsidP="00F62DCC">
      <w:pPr>
        <w:spacing w:after="5" w:line="247" w:lineRule="auto"/>
        <w:ind w:right="79"/>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 xml:space="preserve">работа над разработкой нормативной правовой основы НБТ и за 2020-2021 годы были приняты 3 руководства по </w:t>
      </w:r>
      <w:proofErr w:type="spellStart"/>
      <w:r w:rsidRPr="003761A4">
        <w:rPr>
          <w:rFonts w:ascii="Times New Roman" w:eastAsia="Times New Roman" w:hAnsi="Times New Roman" w:cs="Times New Roman"/>
          <w:sz w:val="24"/>
          <w:lang w:eastAsia="ru-RU"/>
        </w:rPr>
        <w:t>макропруденциальным</w:t>
      </w:r>
      <w:proofErr w:type="spellEnd"/>
      <w:r w:rsidRPr="003761A4">
        <w:rPr>
          <w:rFonts w:ascii="Times New Roman" w:eastAsia="Times New Roman" w:hAnsi="Times New Roman" w:cs="Times New Roman"/>
          <w:sz w:val="24"/>
          <w:lang w:eastAsia="ru-RU"/>
        </w:rPr>
        <w:t xml:space="preserve"> инструментах.</w:t>
      </w:r>
    </w:p>
    <w:p w14:paraId="2CCAFDB1" w14:textId="6527F104" w:rsidR="008108ED" w:rsidRPr="003761A4" w:rsidRDefault="00F62DCC" w:rsidP="00F62DCC">
      <w:pPr>
        <w:spacing w:after="5" w:line="247" w:lineRule="auto"/>
        <w:ind w:right="79"/>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 xml:space="preserve">В рамках программы МВФ “Financial </w:t>
      </w:r>
      <w:proofErr w:type="spellStart"/>
      <w:r w:rsidRPr="003761A4">
        <w:rPr>
          <w:rFonts w:ascii="Times New Roman" w:eastAsia="Times New Roman" w:hAnsi="Times New Roman" w:cs="Times New Roman"/>
          <w:sz w:val="24"/>
          <w:lang w:eastAsia="ru-RU"/>
        </w:rPr>
        <w:t>Sector</w:t>
      </w:r>
      <w:proofErr w:type="spellEnd"/>
      <w:r w:rsidRPr="003761A4">
        <w:rPr>
          <w:rFonts w:ascii="Times New Roman" w:eastAsia="Times New Roman" w:hAnsi="Times New Roman" w:cs="Times New Roman"/>
          <w:sz w:val="24"/>
          <w:lang w:eastAsia="ru-RU"/>
        </w:rPr>
        <w:t xml:space="preserve"> </w:t>
      </w:r>
      <w:proofErr w:type="spellStart"/>
      <w:r w:rsidRPr="003761A4">
        <w:rPr>
          <w:rFonts w:ascii="Times New Roman" w:eastAsia="Times New Roman" w:hAnsi="Times New Roman" w:cs="Times New Roman"/>
          <w:sz w:val="24"/>
          <w:lang w:eastAsia="ru-RU"/>
        </w:rPr>
        <w:t>Stability</w:t>
      </w:r>
      <w:proofErr w:type="spellEnd"/>
      <w:r w:rsidRPr="003761A4">
        <w:rPr>
          <w:rFonts w:ascii="Times New Roman" w:eastAsia="Times New Roman" w:hAnsi="Times New Roman" w:cs="Times New Roman"/>
          <w:sz w:val="24"/>
          <w:lang w:eastAsia="ru-RU"/>
        </w:rPr>
        <w:t xml:space="preserve"> Review” (FSSR) в 2022 году с целью совершенствования регулирования и управления финансовой системы была проведена оценка состояния финансового сектора с последующей разработкой и реализацией программ технической помощи и предоставления экспертов на 2023-2025 </w:t>
      </w:r>
      <w:proofErr w:type="spellStart"/>
      <w:r w:rsidRPr="003761A4">
        <w:rPr>
          <w:rFonts w:ascii="Times New Roman" w:eastAsia="Times New Roman" w:hAnsi="Times New Roman" w:cs="Times New Roman"/>
          <w:sz w:val="24"/>
          <w:lang w:eastAsia="ru-RU"/>
        </w:rPr>
        <w:t>rr</w:t>
      </w:r>
      <w:proofErr w:type="spellEnd"/>
      <w:r w:rsidRPr="003761A4">
        <w:rPr>
          <w:rFonts w:ascii="Times New Roman" w:eastAsia="Times New Roman" w:hAnsi="Times New Roman" w:cs="Times New Roman"/>
          <w:sz w:val="24"/>
          <w:lang w:eastAsia="ru-RU"/>
        </w:rPr>
        <w:t xml:space="preserve">. в сфере </w:t>
      </w:r>
      <w:proofErr w:type="spellStart"/>
      <w:r w:rsidRPr="003761A4">
        <w:rPr>
          <w:rFonts w:ascii="Times New Roman" w:eastAsia="Times New Roman" w:hAnsi="Times New Roman" w:cs="Times New Roman"/>
          <w:sz w:val="24"/>
          <w:lang w:eastAsia="ru-RU"/>
        </w:rPr>
        <w:t>макростресс</w:t>
      </w:r>
      <w:proofErr w:type="spellEnd"/>
      <w:r w:rsidRPr="003761A4">
        <w:rPr>
          <w:rFonts w:ascii="Times New Roman" w:eastAsia="Times New Roman" w:hAnsi="Times New Roman" w:cs="Times New Roman"/>
          <w:sz w:val="24"/>
          <w:lang w:eastAsia="ru-RU"/>
        </w:rPr>
        <w:t xml:space="preserve">-тестирования, банковского надзора, финансовой стабильности и </w:t>
      </w:r>
      <w:proofErr w:type="spellStart"/>
      <w:r w:rsidRPr="003761A4">
        <w:rPr>
          <w:rFonts w:ascii="Times New Roman" w:eastAsia="Times New Roman" w:hAnsi="Times New Roman" w:cs="Times New Roman"/>
          <w:sz w:val="24"/>
          <w:lang w:eastAsia="ru-RU"/>
        </w:rPr>
        <w:t>макропруденциальной</w:t>
      </w:r>
      <w:proofErr w:type="spellEnd"/>
      <w:r w:rsidRPr="003761A4">
        <w:rPr>
          <w:rFonts w:ascii="Times New Roman" w:eastAsia="Times New Roman" w:hAnsi="Times New Roman" w:cs="Times New Roman"/>
          <w:sz w:val="24"/>
          <w:lang w:eastAsia="ru-RU"/>
        </w:rPr>
        <w:t xml:space="preserve"> политики</w:t>
      </w:r>
    </w:p>
    <w:p w14:paraId="027332D1" w14:textId="77777777" w:rsidR="008108ED" w:rsidRPr="003761A4" w:rsidRDefault="008108ED" w:rsidP="005D24C7">
      <w:pPr>
        <w:spacing w:after="5" w:line="247" w:lineRule="auto"/>
        <w:ind w:right="79"/>
        <w:rPr>
          <w:rFonts w:ascii="Times New Roman" w:eastAsia="Times New Roman" w:hAnsi="Times New Roman" w:cs="Times New Roman"/>
          <w:sz w:val="24"/>
          <w:lang w:eastAsia="ru-RU"/>
        </w:rPr>
      </w:pPr>
    </w:p>
    <w:p w14:paraId="281E4AE0" w14:textId="3BED322C" w:rsidR="00EF7D0C" w:rsidRPr="003761A4" w:rsidRDefault="00EF7D0C" w:rsidP="00A14C01">
      <w:pPr>
        <w:pStyle w:val="2"/>
        <w:rPr>
          <w:b/>
          <w:sz w:val="24"/>
          <w:szCs w:val="24"/>
          <w:u w:val="single"/>
        </w:rPr>
      </w:pPr>
      <w:r w:rsidRPr="003761A4">
        <w:rPr>
          <w:b/>
          <w:sz w:val="24"/>
          <w:szCs w:val="24"/>
          <w:u w:val="single"/>
        </w:rPr>
        <w:t>4. Перспективы развития банковского сектора государств центральных (национальных) банков-участников ЕСБ</w:t>
      </w:r>
      <w:r w:rsidR="00114AE4" w:rsidRPr="003761A4">
        <w:rPr>
          <w:b/>
          <w:sz w:val="24"/>
          <w:szCs w:val="24"/>
          <w:u w:val="single"/>
        </w:rPr>
        <w:t>.</w:t>
      </w:r>
    </w:p>
    <w:p w14:paraId="0102D3A3" w14:textId="497F362C" w:rsidR="00551510" w:rsidRPr="003761A4" w:rsidRDefault="00551510" w:rsidP="00A14C01">
      <w:pPr>
        <w:pStyle w:val="3"/>
        <w:rPr>
          <w:rFonts w:ascii="Times New Roman" w:hAnsi="Times New Roman" w:cs="Times New Roman"/>
          <w:b/>
          <w:color w:val="auto"/>
        </w:rPr>
      </w:pPr>
      <w:r w:rsidRPr="003761A4">
        <w:rPr>
          <w:rFonts w:ascii="Times New Roman" w:hAnsi="Times New Roman" w:cs="Times New Roman"/>
          <w:b/>
          <w:color w:val="auto"/>
        </w:rPr>
        <w:t>Республика Армения.</w:t>
      </w:r>
    </w:p>
    <w:p w14:paraId="7A11BA76" w14:textId="1BEB2FDF" w:rsidR="00FC75D8" w:rsidRPr="003761A4" w:rsidRDefault="00FC75D8" w:rsidP="00FC75D8">
      <w:pPr>
        <w:spacing w:after="120"/>
        <w:rPr>
          <w:rFonts w:ascii="Times New Roman" w:hAnsi="Times New Roman" w:cs="Times New Roman"/>
          <w:sz w:val="24"/>
          <w:szCs w:val="24"/>
        </w:rPr>
      </w:pPr>
      <w:r w:rsidRPr="003761A4">
        <w:rPr>
          <w:rFonts w:ascii="Times New Roman" w:hAnsi="Times New Roman" w:cs="Times New Roman"/>
          <w:sz w:val="24"/>
          <w:szCs w:val="24"/>
        </w:rPr>
        <w:t>Согласно утверждённой стратегии</w:t>
      </w:r>
      <w:r w:rsidR="00391E5D" w:rsidRPr="003761A4">
        <w:rPr>
          <w:rStyle w:val="a8"/>
          <w:rFonts w:ascii="Times New Roman" w:hAnsi="Times New Roman"/>
          <w:sz w:val="24"/>
          <w:szCs w:val="24"/>
        </w:rPr>
        <w:footnoteReference w:id="50"/>
      </w:r>
      <w:r w:rsidRPr="003761A4">
        <w:rPr>
          <w:rFonts w:ascii="Times New Roman" w:hAnsi="Times New Roman" w:cs="Times New Roman"/>
          <w:sz w:val="24"/>
          <w:szCs w:val="24"/>
        </w:rPr>
        <w:t xml:space="preserve"> Центрального банка Армении основной вектор развития банковского сектора Армении будет связан с цифровой трансформацией всей системы. Первые шаги на этом пути, связанные с внедрением </w:t>
      </w:r>
      <w:proofErr w:type="gramStart"/>
      <w:r w:rsidRPr="003761A4">
        <w:rPr>
          <w:rFonts w:ascii="Times New Roman" w:hAnsi="Times New Roman" w:cs="Times New Roman"/>
          <w:sz w:val="24"/>
          <w:szCs w:val="24"/>
        </w:rPr>
        <w:t>единой системы удаленной идентификации</w:t>
      </w:r>
      <w:proofErr w:type="gramEnd"/>
      <w:r w:rsidRPr="003761A4">
        <w:rPr>
          <w:rFonts w:ascii="Times New Roman" w:hAnsi="Times New Roman" w:cs="Times New Roman"/>
          <w:sz w:val="24"/>
          <w:szCs w:val="24"/>
        </w:rPr>
        <w:t xml:space="preserve"> уже осуществляются ЦБ РА. Дальнейшее развитие системы будет тесно связано с запуском проектов нормативной песочницы и различных акселераторов, внедрению принципов открытого банкинга и открытых финансов с плавным переходом на систему открытой информации (</w:t>
      </w:r>
      <w:proofErr w:type="spellStart"/>
      <w:r w:rsidRPr="003761A4">
        <w:rPr>
          <w:rFonts w:ascii="Times New Roman" w:hAnsi="Times New Roman" w:cs="Times New Roman"/>
          <w:sz w:val="24"/>
          <w:szCs w:val="24"/>
        </w:rPr>
        <w:t>open</w:t>
      </w:r>
      <w:proofErr w:type="spellEnd"/>
      <w:r w:rsidRPr="003761A4">
        <w:rPr>
          <w:rFonts w:ascii="Times New Roman" w:hAnsi="Times New Roman" w:cs="Times New Roman"/>
          <w:sz w:val="24"/>
          <w:szCs w:val="24"/>
        </w:rPr>
        <w:t xml:space="preserve"> </w:t>
      </w:r>
      <w:proofErr w:type="spellStart"/>
      <w:r w:rsidRPr="003761A4">
        <w:rPr>
          <w:rFonts w:ascii="Times New Roman" w:hAnsi="Times New Roman" w:cs="Times New Roman"/>
          <w:sz w:val="24"/>
          <w:szCs w:val="24"/>
        </w:rPr>
        <w:t>data</w:t>
      </w:r>
      <w:proofErr w:type="spellEnd"/>
      <w:r w:rsidRPr="003761A4">
        <w:rPr>
          <w:rFonts w:ascii="Times New Roman" w:hAnsi="Times New Roman" w:cs="Times New Roman"/>
          <w:sz w:val="24"/>
          <w:szCs w:val="24"/>
        </w:rPr>
        <w:t>).</w:t>
      </w:r>
    </w:p>
    <w:p w14:paraId="342D66BD" w14:textId="0DDDA5E3" w:rsidR="00FC75D8" w:rsidRPr="003761A4" w:rsidRDefault="00FC75D8" w:rsidP="00FC75D8">
      <w:pPr>
        <w:spacing w:after="120"/>
        <w:rPr>
          <w:rFonts w:ascii="Times New Roman" w:hAnsi="Times New Roman" w:cs="Times New Roman"/>
          <w:sz w:val="24"/>
          <w:szCs w:val="24"/>
        </w:rPr>
      </w:pPr>
      <w:r w:rsidRPr="003761A4">
        <w:rPr>
          <w:rFonts w:ascii="Times New Roman" w:hAnsi="Times New Roman" w:cs="Times New Roman"/>
          <w:sz w:val="24"/>
          <w:szCs w:val="24"/>
        </w:rPr>
        <w:t xml:space="preserve">         </w:t>
      </w:r>
    </w:p>
    <w:p w14:paraId="536745CA" w14:textId="073AA1B4" w:rsidR="00114AE4" w:rsidRPr="003761A4" w:rsidRDefault="00114AE4" w:rsidP="00A14C01">
      <w:pPr>
        <w:pStyle w:val="3"/>
        <w:rPr>
          <w:rFonts w:ascii="Times New Roman" w:hAnsi="Times New Roman" w:cs="Times New Roman"/>
          <w:b/>
          <w:color w:val="auto"/>
        </w:rPr>
      </w:pPr>
      <w:r w:rsidRPr="003761A4">
        <w:rPr>
          <w:rFonts w:ascii="Times New Roman" w:hAnsi="Times New Roman" w:cs="Times New Roman"/>
          <w:b/>
          <w:color w:val="auto"/>
        </w:rPr>
        <w:t xml:space="preserve">Республика </w:t>
      </w:r>
      <w:r w:rsidR="00C83D7E" w:rsidRPr="003761A4">
        <w:rPr>
          <w:rFonts w:ascii="Times New Roman" w:hAnsi="Times New Roman" w:cs="Times New Roman"/>
          <w:b/>
          <w:color w:val="auto"/>
        </w:rPr>
        <w:t>Беларусь</w:t>
      </w:r>
    </w:p>
    <w:p w14:paraId="199B68EB" w14:textId="04542B79" w:rsidR="001E6893" w:rsidRPr="003761A4" w:rsidRDefault="001E6893" w:rsidP="001E6893">
      <w:pPr>
        <w:rPr>
          <w:rFonts w:ascii="Times New Roman" w:hAnsi="Times New Roman" w:cs="Times New Roman"/>
          <w:sz w:val="24"/>
        </w:rPr>
      </w:pPr>
      <w:r w:rsidRPr="003761A4">
        <w:rPr>
          <w:rFonts w:ascii="Times New Roman" w:hAnsi="Times New Roman" w:cs="Times New Roman"/>
          <w:sz w:val="24"/>
        </w:rPr>
        <w:t xml:space="preserve">Национальный банк продолжит работу по обеспечению устойчивого функционирования банков, небанковских кредитно-финансовых организаций, ОАО </w:t>
      </w:r>
      <w:r w:rsidR="00B16295" w:rsidRPr="003761A4">
        <w:rPr>
          <w:rFonts w:ascii="Times New Roman" w:hAnsi="Times New Roman" w:cs="Times New Roman"/>
          <w:sz w:val="24"/>
        </w:rPr>
        <w:t>«</w:t>
      </w:r>
      <w:r w:rsidRPr="003761A4">
        <w:rPr>
          <w:rFonts w:ascii="Times New Roman" w:hAnsi="Times New Roman" w:cs="Times New Roman"/>
          <w:sz w:val="24"/>
        </w:rPr>
        <w:t>Банк развития Республики Беларусь</w:t>
      </w:r>
      <w:r w:rsidR="00B16295" w:rsidRPr="003761A4">
        <w:rPr>
          <w:rFonts w:ascii="Times New Roman" w:hAnsi="Times New Roman" w:cs="Times New Roman"/>
          <w:sz w:val="24"/>
        </w:rPr>
        <w:t>»</w:t>
      </w:r>
      <w:r w:rsidRPr="003761A4">
        <w:rPr>
          <w:rFonts w:ascii="Times New Roman" w:hAnsi="Times New Roman" w:cs="Times New Roman"/>
          <w:sz w:val="24"/>
        </w:rPr>
        <w:t xml:space="preserve"> исходя из риск-ориентированного подхода с учетом новых вызовов в экономической и финансовой сферах, а также влияния внешних факторов.</w:t>
      </w:r>
    </w:p>
    <w:p w14:paraId="7A14BA09" w14:textId="77777777" w:rsidR="001E6893" w:rsidRPr="003761A4" w:rsidRDefault="001E6893" w:rsidP="001E6893">
      <w:pPr>
        <w:rPr>
          <w:rFonts w:ascii="Times New Roman" w:hAnsi="Times New Roman" w:cs="Times New Roman"/>
          <w:sz w:val="24"/>
        </w:rPr>
      </w:pPr>
      <w:r w:rsidRPr="003761A4">
        <w:rPr>
          <w:rFonts w:ascii="Times New Roman" w:hAnsi="Times New Roman" w:cs="Times New Roman"/>
          <w:sz w:val="24"/>
        </w:rPr>
        <w:t>Совершенствование регулирования деятельности банков и небанковских кредитно-финансовых организаций будет осуществляться посредством:</w:t>
      </w:r>
    </w:p>
    <w:p w14:paraId="0831F418" w14:textId="77777777" w:rsidR="001E6893" w:rsidRPr="003761A4" w:rsidRDefault="001E6893" w:rsidP="001E6893">
      <w:pPr>
        <w:rPr>
          <w:rFonts w:ascii="Times New Roman" w:hAnsi="Times New Roman" w:cs="Times New Roman"/>
          <w:sz w:val="24"/>
        </w:rPr>
      </w:pPr>
      <w:r w:rsidRPr="003761A4">
        <w:rPr>
          <w:rFonts w:ascii="Times New Roman" w:hAnsi="Times New Roman" w:cs="Times New Roman"/>
          <w:sz w:val="24"/>
        </w:rPr>
        <w:t xml:space="preserve">подготовки предложений по изменению </w:t>
      </w:r>
      <w:proofErr w:type="spellStart"/>
      <w:r w:rsidRPr="003761A4">
        <w:rPr>
          <w:rFonts w:ascii="Times New Roman" w:hAnsi="Times New Roman" w:cs="Times New Roman"/>
          <w:sz w:val="24"/>
        </w:rPr>
        <w:t>пруденциального</w:t>
      </w:r>
      <w:proofErr w:type="spellEnd"/>
      <w:r w:rsidRPr="003761A4">
        <w:rPr>
          <w:rFonts w:ascii="Times New Roman" w:hAnsi="Times New Roman" w:cs="Times New Roman"/>
          <w:sz w:val="24"/>
        </w:rPr>
        <w:t xml:space="preserve"> регулирования в целях дальнейшей имплементации принципов пропорционального </w:t>
      </w:r>
      <w:proofErr w:type="gramStart"/>
      <w:r w:rsidRPr="003761A4">
        <w:rPr>
          <w:rFonts w:ascii="Times New Roman" w:hAnsi="Times New Roman" w:cs="Times New Roman"/>
          <w:sz w:val="24"/>
        </w:rPr>
        <w:t>регулирования  банковской</w:t>
      </w:r>
      <w:proofErr w:type="gramEnd"/>
      <w:r w:rsidRPr="003761A4">
        <w:rPr>
          <w:rFonts w:ascii="Times New Roman" w:hAnsi="Times New Roman" w:cs="Times New Roman"/>
          <w:sz w:val="24"/>
        </w:rPr>
        <w:t xml:space="preserve"> деятельности;</w:t>
      </w:r>
    </w:p>
    <w:p w14:paraId="7F6DE3E7" w14:textId="77777777" w:rsidR="001E6893" w:rsidRPr="003761A4" w:rsidRDefault="001E6893" w:rsidP="001E6893">
      <w:pPr>
        <w:rPr>
          <w:rFonts w:ascii="Times New Roman" w:hAnsi="Times New Roman" w:cs="Times New Roman"/>
          <w:sz w:val="24"/>
        </w:rPr>
      </w:pPr>
      <w:r w:rsidRPr="003761A4">
        <w:rPr>
          <w:rFonts w:ascii="Times New Roman" w:hAnsi="Times New Roman" w:cs="Times New Roman"/>
          <w:sz w:val="24"/>
        </w:rPr>
        <w:t>гармонизации с Российской Федерацией норм регулирования в сфере безопасного функционирования банков и небанковских кредитно-финансовых организаций.</w:t>
      </w:r>
    </w:p>
    <w:p w14:paraId="6C93B7F2" w14:textId="35CD150C" w:rsidR="00CB0717" w:rsidRPr="003761A4" w:rsidRDefault="001E6893" w:rsidP="001E6893">
      <w:pPr>
        <w:rPr>
          <w:rFonts w:ascii="Times New Roman" w:hAnsi="Times New Roman" w:cs="Times New Roman"/>
          <w:sz w:val="24"/>
        </w:rPr>
      </w:pPr>
      <w:r w:rsidRPr="003761A4">
        <w:rPr>
          <w:rFonts w:ascii="Times New Roman" w:hAnsi="Times New Roman" w:cs="Times New Roman"/>
          <w:sz w:val="24"/>
        </w:rPr>
        <w:t xml:space="preserve">В части совершенствования системы противодействия легализации доходов, полученных преступным путем, финансированию террористической деятельности и финансированию распространения оружия массового поражения (далее – ПОД/ФТ) будет осуществляться выработка методологических подходов к организации деятельности поставщиков платежных услуг, направленных на реализацию международных стандартов Группы разработки финансовых мер борьбы с отмыванием денег (ФАТФ), гармонизацию требований и процедур государств-членов Евразийского экономического союза, направленных на ПОД/ФТ. Продолжится внедрение риск-ориентированного подхода к контролю за деятельностью </w:t>
      </w:r>
      <w:proofErr w:type="spellStart"/>
      <w:r w:rsidRPr="003761A4">
        <w:rPr>
          <w:rFonts w:ascii="Times New Roman" w:hAnsi="Times New Roman" w:cs="Times New Roman"/>
          <w:sz w:val="24"/>
        </w:rPr>
        <w:t>некредитных</w:t>
      </w:r>
      <w:proofErr w:type="spellEnd"/>
      <w:r w:rsidRPr="003761A4">
        <w:rPr>
          <w:rFonts w:ascii="Times New Roman" w:hAnsi="Times New Roman" w:cs="Times New Roman"/>
          <w:sz w:val="24"/>
        </w:rPr>
        <w:t xml:space="preserve"> финансовых организаций в данной сфере путем применения эффективных мер реагирования к участникам финансового рынка, попавшим в зону высокого риска.</w:t>
      </w:r>
    </w:p>
    <w:p w14:paraId="6219E8DD" w14:textId="77777777" w:rsidR="0005702A" w:rsidRPr="003761A4" w:rsidRDefault="0005702A" w:rsidP="001E6893">
      <w:pPr>
        <w:rPr>
          <w:rFonts w:ascii="Times New Roman" w:hAnsi="Times New Roman" w:cs="Times New Roman"/>
          <w:sz w:val="24"/>
        </w:rPr>
      </w:pPr>
    </w:p>
    <w:p w14:paraId="7A04A231" w14:textId="251D3685" w:rsidR="00CB0717" w:rsidRPr="003761A4" w:rsidRDefault="00B16295" w:rsidP="00A14C01">
      <w:pPr>
        <w:pStyle w:val="3"/>
        <w:rPr>
          <w:rFonts w:ascii="Times New Roman" w:hAnsi="Times New Roman" w:cs="Times New Roman"/>
          <w:b/>
          <w:color w:val="auto"/>
        </w:rPr>
      </w:pPr>
      <w:r w:rsidRPr="003761A4">
        <w:rPr>
          <w:rFonts w:ascii="Times New Roman" w:hAnsi="Times New Roman" w:cs="Times New Roman"/>
          <w:b/>
          <w:color w:val="auto"/>
        </w:rPr>
        <w:t>Республика Казахстан</w:t>
      </w:r>
    </w:p>
    <w:p w14:paraId="5939DA5C" w14:textId="77777777" w:rsidR="006319B3" w:rsidRPr="003761A4" w:rsidRDefault="006319B3" w:rsidP="006319B3">
      <w:pPr>
        <w:rPr>
          <w:rFonts w:ascii="Times New Roman" w:hAnsi="Times New Roman"/>
          <w:sz w:val="24"/>
          <w:szCs w:val="24"/>
        </w:rPr>
      </w:pPr>
      <w:r w:rsidRPr="003761A4">
        <w:rPr>
          <w:rFonts w:ascii="Times New Roman" w:hAnsi="Times New Roman"/>
          <w:sz w:val="24"/>
          <w:szCs w:val="24"/>
        </w:rPr>
        <w:t>В целях усиления регулирования и надзора за банковской системой для обеспечения ее устойчивости и минимизации рисков с 2014 года Агентством взят курс на имплементацию стандарта Базель III по достаточности капитала и ликвидности в целях обеспечения банками адекватного качества и запаса капитала, ликвидных инструментов на случай реализации рисков, в т.ч. глобального характера.</w:t>
      </w:r>
    </w:p>
    <w:p w14:paraId="1B7AE2C0" w14:textId="77777777" w:rsidR="006319B3" w:rsidRPr="003761A4" w:rsidRDefault="006319B3" w:rsidP="006319B3">
      <w:pPr>
        <w:rPr>
          <w:rFonts w:ascii="Times New Roman" w:hAnsi="Times New Roman"/>
          <w:sz w:val="24"/>
          <w:szCs w:val="24"/>
        </w:rPr>
      </w:pPr>
      <w:r w:rsidRPr="003761A4">
        <w:rPr>
          <w:rFonts w:ascii="Times New Roman" w:hAnsi="Times New Roman"/>
          <w:sz w:val="24"/>
          <w:szCs w:val="24"/>
        </w:rPr>
        <w:t>Также с 2017 года банки перешли на международный стандарт финансовой отчетности МСФО 9, предусматривающий создание провизий не только по признанным, но и по ожидаемым кредитным убыткам, обеспечивая достаточный уровень резервов на случай резкого ухудшения финансового состояния заемщиков.</w:t>
      </w:r>
    </w:p>
    <w:p w14:paraId="5459A5BB" w14:textId="77777777" w:rsidR="006319B3" w:rsidRPr="003761A4" w:rsidRDefault="006319B3" w:rsidP="006319B3">
      <w:pPr>
        <w:rPr>
          <w:rFonts w:ascii="Times New Roman" w:hAnsi="Times New Roman"/>
          <w:sz w:val="24"/>
          <w:szCs w:val="24"/>
        </w:rPr>
      </w:pPr>
      <w:r w:rsidRPr="003761A4">
        <w:rPr>
          <w:rFonts w:ascii="Times New Roman" w:hAnsi="Times New Roman"/>
          <w:sz w:val="24"/>
          <w:szCs w:val="24"/>
        </w:rPr>
        <w:t>Основополагающим принципом эффективного регулирования также будет являться дальнейшее развитие риск- ориентированного подхода с применением надзорного суждения. В этой связи, с 2019 года для минимизации рисков в деятельности банков осуществлен переход на риск-ориентированный надзор, построенный на принципах надзорного процесса Базель II. В методологию данного подхода заложены принципы Европейского банковского органа (ЕВА) по процессу банковского надзора и оценки (</w:t>
      </w:r>
      <w:proofErr w:type="spellStart"/>
      <w:r w:rsidRPr="003761A4">
        <w:rPr>
          <w:rFonts w:ascii="Times New Roman" w:hAnsi="Times New Roman"/>
          <w:sz w:val="24"/>
          <w:szCs w:val="24"/>
        </w:rPr>
        <w:t>Supervisory</w:t>
      </w:r>
      <w:proofErr w:type="spellEnd"/>
      <w:r w:rsidRPr="003761A4">
        <w:rPr>
          <w:rFonts w:ascii="Times New Roman" w:hAnsi="Times New Roman"/>
          <w:sz w:val="24"/>
          <w:szCs w:val="24"/>
        </w:rPr>
        <w:t xml:space="preserve"> Review </w:t>
      </w:r>
      <w:proofErr w:type="spellStart"/>
      <w:r w:rsidRPr="003761A4">
        <w:rPr>
          <w:rFonts w:ascii="Times New Roman" w:hAnsi="Times New Roman"/>
          <w:sz w:val="24"/>
          <w:szCs w:val="24"/>
        </w:rPr>
        <w:t>and</w:t>
      </w:r>
      <w:proofErr w:type="spellEnd"/>
      <w:r w:rsidRPr="003761A4">
        <w:rPr>
          <w:rFonts w:ascii="Times New Roman" w:hAnsi="Times New Roman"/>
          <w:sz w:val="24"/>
          <w:szCs w:val="24"/>
        </w:rPr>
        <w:t xml:space="preserve"> </w:t>
      </w:r>
      <w:proofErr w:type="spellStart"/>
      <w:r w:rsidRPr="003761A4">
        <w:rPr>
          <w:rFonts w:ascii="Times New Roman" w:hAnsi="Times New Roman"/>
          <w:sz w:val="24"/>
          <w:szCs w:val="24"/>
        </w:rPr>
        <w:t>Evaluation</w:t>
      </w:r>
      <w:proofErr w:type="spellEnd"/>
      <w:r w:rsidRPr="003761A4">
        <w:rPr>
          <w:rFonts w:ascii="Times New Roman" w:hAnsi="Times New Roman"/>
          <w:sz w:val="24"/>
          <w:szCs w:val="24"/>
        </w:rPr>
        <w:t xml:space="preserve"> </w:t>
      </w:r>
      <w:proofErr w:type="spellStart"/>
      <w:r w:rsidRPr="003761A4">
        <w:rPr>
          <w:rFonts w:ascii="Times New Roman" w:hAnsi="Times New Roman"/>
          <w:sz w:val="24"/>
          <w:szCs w:val="24"/>
        </w:rPr>
        <w:t>process</w:t>
      </w:r>
      <w:proofErr w:type="spellEnd"/>
      <w:r w:rsidRPr="003761A4">
        <w:rPr>
          <w:rFonts w:ascii="Times New Roman" w:hAnsi="Times New Roman"/>
          <w:sz w:val="24"/>
          <w:szCs w:val="24"/>
        </w:rPr>
        <w:t>, SREP). SREP предусматривает оценку деятельности банков по жизнеспособности их бизнес-моделей, качеству системы управления рисками, корпоративному управлению, а также по традиционным метрикам достаточности капитала, ликвидности и устойчивости фондирования. Оценка этих элементов позволяет идентифицировать негативные изменения в финансовом состоянии банков на ранних стадиях их возникновения и своевременно и адекватно применять необходимые надзорные и корректирующие меры.</w:t>
      </w:r>
    </w:p>
    <w:p w14:paraId="0E37E9CD" w14:textId="77777777" w:rsidR="006319B3" w:rsidRPr="003761A4" w:rsidRDefault="006319B3" w:rsidP="006319B3">
      <w:pPr>
        <w:rPr>
          <w:rFonts w:ascii="Times New Roman" w:hAnsi="Times New Roman"/>
          <w:sz w:val="24"/>
          <w:szCs w:val="24"/>
        </w:rPr>
      </w:pPr>
      <w:r w:rsidRPr="003761A4">
        <w:rPr>
          <w:rFonts w:ascii="Times New Roman" w:hAnsi="Times New Roman"/>
          <w:sz w:val="24"/>
          <w:szCs w:val="24"/>
        </w:rPr>
        <w:t>По результатам ежегодной оценки SREP будет разработана внутренняя методология установления надзорной надбавки к коэффициентам достаточности капитала банка (</w:t>
      </w:r>
      <w:proofErr w:type="spellStart"/>
      <w:r w:rsidRPr="003761A4">
        <w:rPr>
          <w:rFonts w:ascii="Times New Roman" w:hAnsi="Times New Roman"/>
          <w:sz w:val="24"/>
          <w:szCs w:val="24"/>
        </w:rPr>
        <w:t>Pillar</w:t>
      </w:r>
      <w:proofErr w:type="spellEnd"/>
      <w:r w:rsidRPr="003761A4">
        <w:rPr>
          <w:rFonts w:ascii="Times New Roman" w:hAnsi="Times New Roman"/>
          <w:sz w:val="24"/>
          <w:szCs w:val="24"/>
        </w:rPr>
        <w:t xml:space="preserve"> 2). Надзорная надбавка на капитал будет стимулировать банки оперативно устранять выявленные в их деятельности недостатки и риски. Основные подходы к применению надзорной надбавки на капитал, включая структуру надбавки и предельные значения, будут определены в дополнение к действующим </w:t>
      </w:r>
      <w:proofErr w:type="spellStart"/>
      <w:r w:rsidRPr="003761A4">
        <w:rPr>
          <w:rFonts w:ascii="Times New Roman" w:hAnsi="Times New Roman"/>
          <w:sz w:val="24"/>
          <w:szCs w:val="24"/>
        </w:rPr>
        <w:t>пруденциальным</w:t>
      </w:r>
      <w:proofErr w:type="spellEnd"/>
      <w:r w:rsidRPr="003761A4">
        <w:rPr>
          <w:rFonts w:ascii="Times New Roman" w:hAnsi="Times New Roman"/>
          <w:sz w:val="24"/>
          <w:szCs w:val="24"/>
        </w:rPr>
        <w:t xml:space="preserve"> стандартам.</w:t>
      </w:r>
    </w:p>
    <w:p w14:paraId="12112269" w14:textId="77777777" w:rsidR="006319B3" w:rsidRPr="003761A4" w:rsidRDefault="006319B3" w:rsidP="006319B3">
      <w:pPr>
        <w:rPr>
          <w:rFonts w:ascii="Times New Roman" w:hAnsi="Times New Roman"/>
          <w:sz w:val="24"/>
          <w:szCs w:val="24"/>
        </w:rPr>
      </w:pPr>
      <w:r w:rsidRPr="003761A4">
        <w:rPr>
          <w:rFonts w:ascii="Times New Roman" w:hAnsi="Times New Roman"/>
          <w:sz w:val="24"/>
          <w:szCs w:val="24"/>
        </w:rPr>
        <w:t>Также с целью развития новых бизнес-моделей и инноваций Агентством планируется принять меры по стимулированию развития новых финансовых технологий и компетенций на финансовом рынке. В рамках этого направления будут приняты меры по созданию регуляторной среды для безопасного внедрения инноваций на финансовом рынке, формирования справедливой конкуренции за счет внедрения стандартов Open API и Open Banking, имплементации принципов ESG и «зеленого» финансирования, а также введения регуляторных и надзорных технологий (</w:t>
      </w:r>
      <w:proofErr w:type="spellStart"/>
      <w:r w:rsidRPr="003761A4">
        <w:rPr>
          <w:rFonts w:ascii="Times New Roman" w:hAnsi="Times New Roman"/>
          <w:sz w:val="24"/>
          <w:szCs w:val="24"/>
        </w:rPr>
        <w:t>SupTech</w:t>
      </w:r>
      <w:proofErr w:type="spellEnd"/>
      <w:r w:rsidRPr="003761A4">
        <w:rPr>
          <w:rFonts w:ascii="Times New Roman" w:hAnsi="Times New Roman"/>
          <w:sz w:val="24"/>
          <w:szCs w:val="24"/>
        </w:rPr>
        <w:t xml:space="preserve"> и </w:t>
      </w:r>
      <w:proofErr w:type="spellStart"/>
      <w:r w:rsidRPr="003761A4">
        <w:rPr>
          <w:rFonts w:ascii="Times New Roman" w:hAnsi="Times New Roman"/>
          <w:sz w:val="24"/>
          <w:szCs w:val="24"/>
        </w:rPr>
        <w:t>RegTech</w:t>
      </w:r>
      <w:proofErr w:type="spellEnd"/>
      <w:r w:rsidRPr="003761A4">
        <w:rPr>
          <w:rFonts w:ascii="Times New Roman" w:hAnsi="Times New Roman"/>
          <w:sz w:val="24"/>
          <w:szCs w:val="24"/>
        </w:rPr>
        <w:t>).</w:t>
      </w:r>
    </w:p>
    <w:p w14:paraId="1ECF2591" w14:textId="3661CDD1" w:rsidR="00CB0717" w:rsidRPr="003761A4" w:rsidRDefault="006319B3" w:rsidP="006319B3">
      <w:pPr>
        <w:rPr>
          <w:rFonts w:ascii="Times New Roman" w:hAnsi="Times New Roman"/>
          <w:sz w:val="24"/>
          <w:szCs w:val="24"/>
        </w:rPr>
      </w:pPr>
      <w:r w:rsidRPr="003761A4">
        <w:rPr>
          <w:rFonts w:ascii="Times New Roman" w:hAnsi="Times New Roman"/>
          <w:sz w:val="24"/>
          <w:szCs w:val="24"/>
        </w:rPr>
        <w:t>Дальнейшее развитие отечественного банковского сектора будет определяться с учетом лучшего мирового опыта и стандартов регулирования и надзора, акцентируя внимание на последних тенденциях и изменениях, происходящих как на мировом, так и национальном финансовом рынке.</w:t>
      </w:r>
    </w:p>
    <w:p w14:paraId="6CC14CD4" w14:textId="77777777" w:rsidR="00B16295" w:rsidRPr="003761A4" w:rsidRDefault="00B16295" w:rsidP="006319B3">
      <w:pPr>
        <w:rPr>
          <w:rFonts w:ascii="Times New Roman" w:hAnsi="Times New Roman" w:cs="Times New Roman"/>
          <w:sz w:val="24"/>
          <w:szCs w:val="24"/>
        </w:rPr>
      </w:pPr>
    </w:p>
    <w:p w14:paraId="7158C6C4" w14:textId="68F97B3C" w:rsidR="00225CEE" w:rsidRPr="003761A4" w:rsidRDefault="00B16295" w:rsidP="00A14C01">
      <w:pPr>
        <w:pStyle w:val="3"/>
        <w:rPr>
          <w:rFonts w:ascii="Times New Roman" w:hAnsi="Times New Roman" w:cs="Times New Roman"/>
          <w:b/>
          <w:color w:val="auto"/>
        </w:rPr>
      </w:pPr>
      <w:r w:rsidRPr="003761A4">
        <w:rPr>
          <w:rFonts w:ascii="Times New Roman" w:hAnsi="Times New Roman" w:cs="Times New Roman"/>
          <w:b/>
          <w:color w:val="auto"/>
        </w:rPr>
        <w:t>Кыргызская Республика</w:t>
      </w:r>
    </w:p>
    <w:p w14:paraId="254997D7" w14:textId="77777777" w:rsidR="00005FA5" w:rsidRPr="003761A4" w:rsidRDefault="00005FA5" w:rsidP="00005FA5">
      <w:pPr>
        <w:widowControl w:val="0"/>
        <w:rPr>
          <w:rFonts w:ascii="Times New Roman" w:hAnsi="Times New Roman" w:cs="Times New Roman"/>
          <w:bCs/>
          <w:sz w:val="24"/>
          <w:szCs w:val="24"/>
        </w:rPr>
      </w:pPr>
      <w:r w:rsidRPr="003761A4">
        <w:rPr>
          <w:rFonts w:ascii="Times New Roman" w:hAnsi="Times New Roman" w:cs="Times New Roman"/>
          <w:bCs/>
          <w:sz w:val="24"/>
          <w:szCs w:val="24"/>
        </w:rPr>
        <w:t>Постановлением Правления Национального банка от 2</w:t>
      </w:r>
      <w:r w:rsidRPr="003761A4">
        <w:rPr>
          <w:rFonts w:ascii="Times New Roman" w:hAnsi="Times New Roman" w:cs="Times New Roman"/>
          <w:bCs/>
          <w:sz w:val="24"/>
          <w:szCs w:val="24"/>
          <w:lang w:val="ky-KG"/>
        </w:rPr>
        <w:t>9</w:t>
      </w:r>
      <w:r w:rsidRPr="003761A4">
        <w:rPr>
          <w:rFonts w:ascii="Times New Roman" w:hAnsi="Times New Roman" w:cs="Times New Roman"/>
          <w:bCs/>
          <w:sz w:val="24"/>
          <w:szCs w:val="24"/>
        </w:rPr>
        <w:t>.12.20</w:t>
      </w:r>
      <w:r w:rsidRPr="003761A4">
        <w:rPr>
          <w:rFonts w:ascii="Times New Roman" w:hAnsi="Times New Roman" w:cs="Times New Roman"/>
          <w:bCs/>
          <w:sz w:val="24"/>
          <w:szCs w:val="24"/>
          <w:lang w:val="ky-KG"/>
        </w:rPr>
        <w:t>21</w:t>
      </w:r>
      <w:r w:rsidRPr="003761A4">
        <w:rPr>
          <w:rFonts w:ascii="Times New Roman" w:hAnsi="Times New Roman" w:cs="Times New Roman"/>
          <w:bCs/>
          <w:sz w:val="24"/>
          <w:szCs w:val="24"/>
        </w:rPr>
        <w:t xml:space="preserve"> года № 20</w:t>
      </w:r>
      <w:r w:rsidRPr="003761A4">
        <w:rPr>
          <w:rFonts w:ascii="Times New Roman" w:hAnsi="Times New Roman" w:cs="Times New Roman"/>
          <w:bCs/>
          <w:sz w:val="24"/>
          <w:szCs w:val="24"/>
          <w:lang w:val="ky-KG"/>
        </w:rPr>
        <w:t>21</w:t>
      </w:r>
      <w:r w:rsidRPr="003761A4">
        <w:rPr>
          <w:rFonts w:ascii="Times New Roman" w:hAnsi="Times New Roman" w:cs="Times New Roman"/>
          <w:bCs/>
          <w:sz w:val="24"/>
          <w:szCs w:val="24"/>
        </w:rPr>
        <w:t>-П-</w:t>
      </w:r>
      <w:r w:rsidRPr="003761A4">
        <w:rPr>
          <w:rFonts w:ascii="Times New Roman" w:hAnsi="Times New Roman" w:cs="Times New Roman"/>
          <w:bCs/>
          <w:sz w:val="24"/>
          <w:szCs w:val="24"/>
          <w:lang w:val="ky-KG"/>
        </w:rPr>
        <w:t>35</w:t>
      </w:r>
      <w:r w:rsidRPr="003761A4">
        <w:rPr>
          <w:rFonts w:ascii="Times New Roman" w:hAnsi="Times New Roman" w:cs="Times New Roman"/>
          <w:bCs/>
          <w:sz w:val="24"/>
          <w:szCs w:val="24"/>
        </w:rPr>
        <w:t>/</w:t>
      </w:r>
      <w:r w:rsidRPr="003761A4">
        <w:rPr>
          <w:rFonts w:ascii="Times New Roman" w:hAnsi="Times New Roman" w:cs="Times New Roman"/>
          <w:bCs/>
          <w:sz w:val="24"/>
          <w:szCs w:val="24"/>
          <w:lang w:val="ky-KG"/>
        </w:rPr>
        <w:t>75</w:t>
      </w:r>
      <w:r w:rsidRPr="003761A4">
        <w:rPr>
          <w:rFonts w:ascii="Times New Roman" w:hAnsi="Times New Roman" w:cs="Times New Roman"/>
          <w:bCs/>
          <w:sz w:val="24"/>
          <w:szCs w:val="24"/>
        </w:rPr>
        <w:t>-</w:t>
      </w:r>
      <w:r w:rsidRPr="003761A4">
        <w:rPr>
          <w:rFonts w:ascii="Times New Roman" w:hAnsi="Times New Roman" w:cs="Times New Roman"/>
          <w:bCs/>
          <w:sz w:val="24"/>
          <w:szCs w:val="24"/>
          <w:lang w:val="ky-KG"/>
        </w:rPr>
        <w:t>7</w:t>
      </w:r>
      <w:r w:rsidRPr="003761A4">
        <w:rPr>
          <w:rFonts w:ascii="Times New Roman" w:hAnsi="Times New Roman" w:cs="Times New Roman"/>
          <w:bCs/>
          <w:sz w:val="24"/>
          <w:szCs w:val="24"/>
        </w:rPr>
        <w:t xml:space="preserve">-(БС) одобрены Основные направления развития банковского сектора </w:t>
      </w:r>
      <w:r w:rsidRPr="003761A4">
        <w:rPr>
          <w:rFonts w:ascii="Times New Roman" w:hAnsi="Times New Roman" w:cs="Times New Roman"/>
          <w:bCs/>
          <w:sz w:val="24"/>
          <w:szCs w:val="24"/>
          <w:lang w:val="ky-KG"/>
        </w:rPr>
        <w:t xml:space="preserve">Кыргызской Республики </w:t>
      </w:r>
      <w:r w:rsidRPr="003761A4">
        <w:rPr>
          <w:rFonts w:ascii="Times New Roman" w:hAnsi="Times New Roman" w:cs="Times New Roman"/>
          <w:bCs/>
          <w:sz w:val="24"/>
          <w:szCs w:val="24"/>
        </w:rPr>
        <w:t>на 20</w:t>
      </w:r>
      <w:r w:rsidRPr="003761A4">
        <w:rPr>
          <w:rFonts w:ascii="Times New Roman" w:hAnsi="Times New Roman" w:cs="Times New Roman"/>
          <w:bCs/>
          <w:sz w:val="24"/>
          <w:szCs w:val="24"/>
          <w:lang w:val="ky-KG"/>
        </w:rPr>
        <w:t>22</w:t>
      </w:r>
      <w:r w:rsidRPr="003761A4">
        <w:rPr>
          <w:rFonts w:ascii="Times New Roman" w:hAnsi="Times New Roman" w:cs="Times New Roman"/>
          <w:bCs/>
          <w:sz w:val="24"/>
          <w:szCs w:val="24"/>
        </w:rPr>
        <w:t>-202</w:t>
      </w:r>
      <w:r w:rsidRPr="003761A4">
        <w:rPr>
          <w:rFonts w:ascii="Times New Roman" w:hAnsi="Times New Roman" w:cs="Times New Roman"/>
          <w:bCs/>
          <w:sz w:val="24"/>
          <w:szCs w:val="24"/>
          <w:lang w:val="ky-KG"/>
        </w:rPr>
        <w:t>5</w:t>
      </w:r>
      <w:r w:rsidRPr="003761A4">
        <w:rPr>
          <w:rFonts w:ascii="Times New Roman" w:hAnsi="Times New Roman" w:cs="Times New Roman"/>
          <w:bCs/>
          <w:sz w:val="24"/>
          <w:szCs w:val="24"/>
        </w:rPr>
        <w:t xml:space="preserve"> годы (далее –ОНРБС на 20</w:t>
      </w:r>
      <w:r w:rsidRPr="003761A4">
        <w:rPr>
          <w:rFonts w:ascii="Times New Roman" w:hAnsi="Times New Roman" w:cs="Times New Roman"/>
          <w:bCs/>
          <w:sz w:val="24"/>
          <w:szCs w:val="24"/>
          <w:lang w:val="ky-KG"/>
        </w:rPr>
        <w:t>22</w:t>
      </w:r>
      <w:r w:rsidRPr="003761A4">
        <w:rPr>
          <w:rFonts w:ascii="Times New Roman" w:hAnsi="Times New Roman" w:cs="Times New Roman"/>
          <w:bCs/>
          <w:sz w:val="24"/>
          <w:szCs w:val="24"/>
        </w:rPr>
        <w:t>-202</w:t>
      </w:r>
      <w:r w:rsidRPr="003761A4">
        <w:rPr>
          <w:rFonts w:ascii="Times New Roman" w:hAnsi="Times New Roman" w:cs="Times New Roman"/>
          <w:bCs/>
          <w:sz w:val="24"/>
          <w:szCs w:val="24"/>
          <w:lang w:val="ky-KG"/>
        </w:rPr>
        <w:t>5</w:t>
      </w:r>
      <w:r w:rsidRPr="003761A4">
        <w:rPr>
          <w:rFonts w:ascii="Times New Roman" w:hAnsi="Times New Roman" w:cs="Times New Roman"/>
          <w:bCs/>
          <w:sz w:val="24"/>
          <w:szCs w:val="24"/>
        </w:rPr>
        <w:t xml:space="preserve"> </w:t>
      </w:r>
      <w:proofErr w:type="spellStart"/>
      <w:r w:rsidRPr="003761A4">
        <w:rPr>
          <w:rFonts w:ascii="Times New Roman" w:hAnsi="Times New Roman" w:cs="Times New Roman"/>
          <w:bCs/>
          <w:sz w:val="24"/>
          <w:szCs w:val="24"/>
        </w:rPr>
        <w:t>гг</w:t>
      </w:r>
      <w:proofErr w:type="spellEnd"/>
      <w:r w:rsidRPr="003761A4">
        <w:rPr>
          <w:rFonts w:ascii="Times New Roman" w:hAnsi="Times New Roman" w:cs="Times New Roman"/>
          <w:bCs/>
          <w:sz w:val="24"/>
          <w:szCs w:val="24"/>
        </w:rPr>
        <w:t xml:space="preserve">). </w:t>
      </w:r>
    </w:p>
    <w:p w14:paraId="1352D199" w14:textId="77777777" w:rsidR="00005FA5" w:rsidRPr="003761A4" w:rsidRDefault="00005FA5" w:rsidP="00005FA5">
      <w:pPr>
        <w:autoSpaceDE w:val="0"/>
        <w:autoSpaceDN w:val="0"/>
        <w:adjustRightInd w:val="0"/>
        <w:ind w:firstLine="708"/>
        <w:rPr>
          <w:rFonts w:ascii="Times New Roman" w:hAnsi="Times New Roman" w:cs="Times New Roman"/>
          <w:bCs/>
          <w:sz w:val="24"/>
          <w:szCs w:val="24"/>
        </w:rPr>
      </w:pPr>
      <w:r w:rsidRPr="003761A4">
        <w:rPr>
          <w:rFonts w:ascii="Times New Roman" w:hAnsi="Times New Roman" w:cs="Times New Roman"/>
          <w:bCs/>
          <w:sz w:val="24"/>
          <w:szCs w:val="24"/>
        </w:rPr>
        <w:t>ОНРБС на 20</w:t>
      </w:r>
      <w:r w:rsidRPr="003761A4">
        <w:rPr>
          <w:rFonts w:ascii="Times New Roman" w:hAnsi="Times New Roman" w:cs="Times New Roman"/>
          <w:bCs/>
          <w:sz w:val="24"/>
          <w:szCs w:val="24"/>
          <w:lang w:val="ky-KG"/>
        </w:rPr>
        <w:t>22</w:t>
      </w:r>
      <w:r w:rsidRPr="003761A4">
        <w:rPr>
          <w:rFonts w:ascii="Times New Roman" w:hAnsi="Times New Roman" w:cs="Times New Roman"/>
          <w:bCs/>
          <w:sz w:val="24"/>
          <w:szCs w:val="24"/>
        </w:rPr>
        <w:t>-202</w:t>
      </w:r>
      <w:r w:rsidRPr="003761A4">
        <w:rPr>
          <w:rFonts w:ascii="Times New Roman" w:hAnsi="Times New Roman" w:cs="Times New Roman"/>
          <w:bCs/>
          <w:sz w:val="24"/>
          <w:szCs w:val="24"/>
          <w:lang w:val="ky-KG"/>
        </w:rPr>
        <w:t>5</w:t>
      </w:r>
      <w:r w:rsidRPr="003761A4">
        <w:rPr>
          <w:rFonts w:ascii="Times New Roman" w:hAnsi="Times New Roman" w:cs="Times New Roman"/>
          <w:bCs/>
          <w:sz w:val="24"/>
          <w:szCs w:val="24"/>
        </w:rPr>
        <w:t xml:space="preserve"> годы отражает цели и задачи, стоящие перед банковской системой на последующий среднесрочный период с 20</w:t>
      </w:r>
      <w:r w:rsidRPr="003761A4">
        <w:rPr>
          <w:rFonts w:ascii="Times New Roman" w:hAnsi="Times New Roman" w:cs="Times New Roman"/>
          <w:bCs/>
          <w:sz w:val="24"/>
          <w:szCs w:val="24"/>
          <w:lang w:val="ky-KG"/>
        </w:rPr>
        <w:t>22</w:t>
      </w:r>
      <w:r w:rsidRPr="003761A4">
        <w:rPr>
          <w:rFonts w:ascii="Times New Roman" w:hAnsi="Times New Roman" w:cs="Times New Roman"/>
          <w:bCs/>
          <w:sz w:val="24"/>
          <w:szCs w:val="24"/>
        </w:rPr>
        <w:t xml:space="preserve"> по 202</w:t>
      </w:r>
      <w:r w:rsidRPr="003761A4">
        <w:rPr>
          <w:rFonts w:ascii="Times New Roman" w:hAnsi="Times New Roman" w:cs="Times New Roman"/>
          <w:bCs/>
          <w:sz w:val="24"/>
          <w:szCs w:val="24"/>
          <w:lang w:val="ky-KG"/>
        </w:rPr>
        <w:t>5</w:t>
      </w:r>
      <w:r w:rsidRPr="003761A4">
        <w:rPr>
          <w:rFonts w:ascii="Times New Roman" w:hAnsi="Times New Roman" w:cs="Times New Roman"/>
          <w:bCs/>
          <w:sz w:val="24"/>
          <w:szCs w:val="24"/>
        </w:rPr>
        <w:t xml:space="preserve"> годы и направлен на усиление устойчивости банковского сектора, повышение роли банковского сектора в экономике КР, поддержание эффективности, безопасности (вопросы обеспечения кибербезопасности) и надежности банковской деятельности, создание условий для увеличения доступа к банковским услугам и их доступности, дальнейший рост уровня финансового посредничества, снижения средневзвешенных процентных ставок по кредитам, а также дальнейшее развития исламских принципов финансирования.</w:t>
      </w:r>
    </w:p>
    <w:p w14:paraId="6B3FA0CA" w14:textId="77777777" w:rsidR="00005FA5" w:rsidRPr="003761A4" w:rsidRDefault="00005FA5" w:rsidP="00005FA5">
      <w:pPr>
        <w:autoSpaceDE w:val="0"/>
        <w:autoSpaceDN w:val="0"/>
        <w:adjustRightInd w:val="0"/>
        <w:ind w:firstLine="708"/>
        <w:rPr>
          <w:rFonts w:ascii="Times New Roman" w:hAnsi="Times New Roman" w:cs="Times New Roman"/>
          <w:bCs/>
          <w:sz w:val="24"/>
          <w:szCs w:val="24"/>
        </w:rPr>
      </w:pPr>
      <w:r w:rsidRPr="003761A4">
        <w:rPr>
          <w:rFonts w:ascii="Times New Roman" w:hAnsi="Times New Roman" w:cs="Times New Roman"/>
          <w:bCs/>
          <w:sz w:val="24"/>
          <w:szCs w:val="24"/>
        </w:rPr>
        <w:t xml:space="preserve">В среднесрочной перспективе Национальным банком, исходя из показателей предыдущего четырехлетнего периода, планируется увеличение показателей, отражающих доступность банковских услуг, рост уровня финансового посредничества банковской системы, т.е. активы банковской системы должны составить 54 процентов от ВВП, кредиты банковской системы – 28,0 процента от ВВП, депозиты банковской системы – 33,0 процента от ВВП. </w:t>
      </w:r>
    </w:p>
    <w:p w14:paraId="030846CB" w14:textId="77777777" w:rsidR="00005FA5" w:rsidRPr="003761A4" w:rsidRDefault="00005FA5" w:rsidP="00005FA5">
      <w:pPr>
        <w:rPr>
          <w:rFonts w:ascii="Times New Roman" w:hAnsi="Times New Roman" w:cs="Times New Roman"/>
          <w:bCs/>
          <w:sz w:val="24"/>
          <w:szCs w:val="24"/>
        </w:rPr>
      </w:pPr>
      <w:r w:rsidRPr="003761A4">
        <w:rPr>
          <w:rFonts w:ascii="Times New Roman" w:hAnsi="Times New Roman" w:cs="Times New Roman"/>
          <w:bCs/>
          <w:sz w:val="24"/>
          <w:szCs w:val="24"/>
        </w:rPr>
        <w:t>Содействие процессу создания исламских банков или банков с «исламскими окнами» с установлением четких правил проведения банковских операций на основе ИПФ, поспособствует увеличению доли финансирования финансово-кредитных организаций, осуществляющих свою деятельность по ИПФ до 5 процентов от общего кредитного портфеля финансового сектора. </w:t>
      </w:r>
    </w:p>
    <w:p w14:paraId="3C4491E1" w14:textId="77777777" w:rsidR="007F6B37" w:rsidRPr="003761A4" w:rsidRDefault="007F6B37" w:rsidP="00114AE4">
      <w:pPr>
        <w:rPr>
          <w:rFonts w:ascii="Times New Roman" w:hAnsi="Times New Roman" w:cs="Times New Roman"/>
          <w:sz w:val="24"/>
          <w:szCs w:val="24"/>
        </w:rPr>
      </w:pPr>
    </w:p>
    <w:p w14:paraId="326B2495" w14:textId="12F672A3" w:rsidR="00114AE4" w:rsidRPr="003761A4" w:rsidRDefault="00B16295" w:rsidP="00A14C01">
      <w:pPr>
        <w:pStyle w:val="3"/>
        <w:rPr>
          <w:rFonts w:ascii="Times New Roman" w:hAnsi="Times New Roman" w:cs="Times New Roman"/>
          <w:b/>
          <w:color w:val="auto"/>
          <w:lang w:val="ky-KG"/>
        </w:rPr>
      </w:pPr>
      <w:r w:rsidRPr="003761A4">
        <w:rPr>
          <w:rFonts w:ascii="Times New Roman" w:hAnsi="Times New Roman" w:cs="Times New Roman"/>
          <w:b/>
          <w:color w:val="auto"/>
          <w:lang w:val="ky-KG"/>
        </w:rPr>
        <w:t>Российская Федерация</w:t>
      </w:r>
    </w:p>
    <w:p w14:paraId="7D08DD7C" w14:textId="77777777" w:rsidR="0096737A" w:rsidRPr="003761A4" w:rsidRDefault="0096737A" w:rsidP="0096737A">
      <w:pPr>
        <w:keepNext/>
        <w:spacing w:after="120"/>
        <w:ind w:firstLine="0"/>
        <w:rPr>
          <w:rFonts w:ascii="Times New Roman" w:hAnsi="Times New Roman" w:cs="Times New Roman"/>
          <w:b/>
          <w:sz w:val="24"/>
          <w:szCs w:val="24"/>
        </w:rPr>
      </w:pPr>
      <w:r w:rsidRPr="003761A4">
        <w:rPr>
          <w:rFonts w:ascii="Times New Roman" w:hAnsi="Times New Roman" w:cs="Times New Roman"/>
          <w:b/>
          <w:sz w:val="24"/>
          <w:szCs w:val="24"/>
        </w:rPr>
        <w:t>4.1. В части банковского регулирования</w:t>
      </w:r>
    </w:p>
    <w:p w14:paraId="5825E331" w14:textId="77777777" w:rsidR="0096737A" w:rsidRPr="003761A4" w:rsidRDefault="0096737A" w:rsidP="0096737A">
      <w:pPr>
        <w:spacing w:after="120"/>
        <w:ind w:firstLine="0"/>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ab/>
        <w:t>Подробные планы в части перспектив развития банковского регулирования опубликованы в докладе Банка России Перспективные направления развития банковского регулирования и надзора</w:t>
      </w:r>
      <w:r w:rsidRPr="003761A4">
        <w:rPr>
          <w:rStyle w:val="a8"/>
          <w:rFonts w:eastAsia="Times New Roman"/>
          <w:sz w:val="24"/>
          <w:szCs w:val="24"/>
          <w:lang w:eastAsia="ru-RU"/>
        </w:rPr>
        <w:footnoteReference w:id="51"/>
      </w:r>
      <w:r w:rsidRPr="003761A4">
        <w:rPr>
          <w:rFonts w:ascii="Times New Roman" w:eastAsia="Times New Roman" w:hAnsi="Times New Roman" w:cs="Times New Roman"/>
          <w:sz w:val="24"/>
          <w:szCs w:val="24"/>
          <w:lang w:eastAsia="ru-RU"/>
        </w:rPr>
        <w:t>.</w:t>
      </w:r>
    </w:p>
    <w:p w14:paraId="4089C676" w14:textId="77777777" w:rsidR="0096737A" w:rsidRPr="003761A4" w:rsidRDefault="0096737A" w:rsidP="0096737A">
      <w:pPr>
        <w:keepNext/>
        <w:spacing w:after="120"/>
        <w:ind w:firstLine="0"/>
        <w:rPr>
          <w:rFonts w:ascii="Times New Roman" w:hAnsi="Times New Roman" w:cs="Times New Roman"/>
          <w:b/>
          <w:sz w:val="24"/>
          <w:szCs w:val="24"/>
        </w:rPr>
      </w:pPr>
      <w:r w:rsidRPr="003761A4">
        <w:rPr>
          <w:rFonts w:ascii="Times New Roman" w:hAnsi="Times New Roman" w:cs="Times New Roman"/>
          <w:b/>
          <w:sz w:val="24"/>
          <w:szCs w:val="24"/>
        </w:rPr>
        <w:t xml:space="preserve">4.2. В части развития цифровизации и финансовых технологий в банковской сфере </w:t>
      </w:r>
    </w:p>
    <w:p w14:paraId="008F79C8" w14:textId="77777777" w:rsidR="0096737A" w:rsidRPr="003761A4" w:rsidRDefault="0096737A" w:rsidP="0096737A">
      <w:pPr>
        <w:autoSpaceDE w:val="0"/>
        <w:autoSpaceDN w:val="0"/>
        <w:adjustRightInd w:val="0"/>
        <w:spacing w:after="120"/>
        <w:ind w:firstLine="0"/>
        <w:rPr>
          <w:rFonts w:ascii="Times New Roman" w:hAnsi="Times New Roman" w:cs="Times New Roman"/>
          <w:sz w:val="24"/>
          <w:szCs w:val="24"/>
        </w:rPr>
      </w:pPr>
      <w:r w:rsidRPr="003761A4">
        <w:rPr>
          <w:rFonts w:ascii="Times New Roman" w:hAnsi="Times New Roman" w:cs="Times New Roman"/>
          <w:sz w:val="24"/>
          <w:szCs w:val="24"/>
        </w:rPr>
        <w:tab/>
        <w:t>Содействие цифровизации финансового рынка остается одним из стратегических приоритетов Банка России. Внедрение новых технологий и поддержка инноваций на финансовом рынке способствуют повышению финансовой доступности различных видов финансовых инструментов для удовлетворения потребностей граждан и бизнеса, появлению новых бизнес-моделей, повышению производительности труда и в конечном счете вносят вклад в структурную трансформацию российской экономики.</w:t>
      </w:r>
    </w:p>
    <w:p w14:paraId="1B3FAA20" w14:textId="77777777" w:rsidR="0096737A" w:rsidRPr="003761A4" w:rsidRDefault="0096737A" w:rsidP="0096737A">
      <w:pPr>
        <w:autoSpaceDE w:val="0"/>
        <w:autoSpaceDN w:val="0"/>
        <w:adjustRightInd w:val="0"/>
        <w:spacing w:after="120"/>
        <w:ind w:firstLine="0"/>
        <w:rPr>
          <w:rFonts w:ascii="Times New Roman" w:hAnsi="Times New Roman" w:cs="Times New Roman"/>
          <w:sz w:val="24"/>
          <w:szCs w:val="24"/>
        </w:rPr>
      </w:pPr>
      <w:r w:rsidRPr="003761A4">
        <w:rPr>
          <w:rFonts w:ascii="Times New Roman" w:hAnsi="Times New Roman" w:cs="Times New Roman"/>
          <w:sz w:val="24"/>
          <w:szCs w:val="24"/>
        </w:rPr>
        <w:tab/>
        <w:t xml:space="preserve">Банк России продолжит реализацию цифровых инфраструктурных проектов, а также создание правовых условий, способствующих внедрению инноваций на финансовом рынке. В соответствии с опубликованными в декабре 2022 года «Основными направлениями развития финансового рынка Российской Федерации на 2023 год и период 2024 и 2025 годов» запланировано проведение работ, в том числе, по следующим направлениям: </w:t>
      </w:r>
    </w:p>
    <w:p w14:paraId="746E5781" w14:textId="77777777" w:rsidR="0096737A" w:rsidRPr="003761A4" w:rsidRDefault="0096737A" w:rsidP="0096737A">
      <w:pPr>
        <w:keepNext/>
        <w:spacing w:after="120"/>
        <w:ind w:firstLine="0"/>
        <w:rPr>
          <w:rFonts w:ascii="Times New Roman" w:hAnsi="Times New Roman" w:cs="Times New Roman"/>
          <w:b/>
          <w:sz w:val="24"/>
          <w:szCs w:val="24"/>
        </w:rPr>
      </w:pPr>
      <w:r w:rsidRPr="003761A4">
        <w:rPr>
          <w:rFonts w:ascii="Times New Roman" w:hAnsi="Times New Roman" w:cs="Times New Roman"/>
          <w:b/>
          <w:sz w:val="24"/>
          <w:szCs w:val="24"/>
        </w:rPr>
        <w:t>Развитие регулирования</w:t>
      </w:r>
    </w:p>
    <w:p w14:paraId="481FD8F3" w14:textId="77777777" w:rsidR="0096737A" w:rsidRPr="003761A4" w:rsidRDefault="0096737A" w:rsidP="0096737A">
      <w:pPr>
        <w:pStyle w:val="a3"/>
        <w:numPr>
          <w:ilvl w:val="0"/>
          <w:numId w:val="34"/>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 xml:space="preserve">Обеспечение регулирования, направленного на расширение перечня сведений в инфраструктуре Цифрового профиля (ЦП), их актуализацию и расширение видов и количества финансовых организаций, использующих ЦП гражданина. </w:t>
      </w:r>
    </w:p>
    <w:p w14:paraId="08D2C5DC" w14:textId="77777777" w:rsidR="0096737A" w:rsidRPr="003761A4" w:rsidRDefault="0096737A" w:rsidP="0096737A">
      <w:pPr>
        <w:pStyle w:val="a3"/>
        <w:numPr>
          <w:ilvl w:val="0"/>
          <w:numId w:val="34"/>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Создание правовых основ для развития Цифрового профиля юридического лица</w:t>
      </w:r>
      <w:r w:rsidRPr="003761A4">
        <w:rPr>
          <w:rStyle w:val="a8"/>
          <w:rFonts w:eastAsia="Times New Roman"/>
          <w:sz w:val="24"/>
          <w:szCs w:val="24"/>
          <w:lang w:eastAsia="ru-RU"/>
        </w:rPr>
        <w:footnoteReference w:id="52"/>
      </w:r>
      <w:r w:rsidRPr="003761A4">
        <w:rPr>
          <w:rFonts w:ascii="Times New Roman" w:eastAsia="Times New Roman" w:hAnsi="Times New Roman" w:cs="Times New Roman"/>
          <w:sz w:val="24"/>
          <w:szCs w:val="24"/>
          <w:lang w:eastAsia="ru-RU"/>
        </w:rPr>
        <w:t xml:space="preserve"> и предоставления большего количества данных о юридических лицах с целью оказания им дистанционных финансовых услуг.</w:t>
      </w:r>
    </w:p>
    <w:p w14:paraId="18FD4BC3" w14:textId="77777777" w:rsidR="0096737A" w:rsidRPr="003761A4" w:rsidRDefault="0096737A" w:rsidP="0096737A">
      <w:pPr>
        <w:pStyle w:val="a3"/>
        <w:numPr>
          <w:ilvl w:val="0"/>
          <w:numId w:val="34"/>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Расширение доступа Банка России к государственным информационным системам.</w:t>
      </w:r>
    </w:p>
    <w:p w14:paraId="48502C37" w14:textId="77777777" w:rsidR="0096737A" w:rsidRPr="003761A4" w:rsidRDefault="0096737A" w:rsidP="0096737A">
      <w:pPr>
        <w:pStyle w:val="a3"/>
        <w:numPr>
          <w:ilvl w:val="0"/>
          <w:numId w:val="34"/>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 xml:space="preserve">Разработка предложений по нормативному регулированию Открытых API при реализации модели «Открытые финансы», а также предложений по внесению изменений в законодательство, предусматривающих закрепление необходимых полномочий Банка России для внедрения Открытых API. </w:t>
      </w:r>
    </w:p>
    <w:p w14:paraId="46BD128C" w14:textId="77777777" w:rsidR="0096737A" w:rsidRPr="003761A4" w:rsidRDefault="0096737A" w:rsidP="0096737A">
      <w:pPr>
        <w:pStyle w:val="a3"/>
        <w:numPr>
          <w:ilvl w:val="0"/>
          <w:numId w:val="34"/>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Развитие регулирования для внедрения экспериментальных правовых режимов на финансовом рынке. В указанных целях планируется внесение изменений в ряд федеральных законов для создания необходимых правовых условий для пилотирования инновационных решений.</w:t>
      </w:r>
    </w:p>
    <w:p w14:paraId="5E7D5328" w14:textId="77777777" w:rsidR="0096737A" w:rsidRPr="003761A4" w:rsidRDefault="0096737A" w:rsidP="0096737A">
      <w:pPr>
        <w:pStyle w:val="a3"/>
        <w:numPr>
          <w:ilvl w:val="0"/>
          <w:numId w:val="34"/>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Принятие закона, создающего правовые условия для электронного хранения документов.</w:t>
      </w:r>
    </w:p>
    <w:p w14:paraId="08EC1E9E" w14:textId="77777777" w:rsidR="0096737A" w:rsidRPr="003761A4" w:rsidRDefault="0096737A" w:rsidP="0096737A">
      <w:pPr>
        <w:pStyle w:val="a3"/>
        <w:numPr>
          <w:ilvl w:val="0"/>
          <w:numId w:val="34"/>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Формирование комплексного регулирования оборота данных на финансовом рынке, в том числе по установлению на уровне федеральных законов особенностей обработки финансовыми организациями персональных данных, а также участие Банка России в создании правовых условий оборота обезличенных персональных данных и обезличенных кредитных историй.</w:t>
      </w:r>
    </w:p>
    <w:p w14:paraId="655F5B41" w14:textId="77777777" w:rsidR="0096737A" w:rsidRPr="003761A4" w:rsidRDefault="0096737A" w:rsidP="0096737A">
      <w:pPr>
        <w:pStyle w:val="a3"/>
        <w:numPr>
          <w:ilvl w:val="0"/>
          <w:numId w:val="34"/>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Принятие ряда федеральных законов, направленных на совершенствование регулирования цифровых прав и дальнейшее развитие данного сегмента финансового рынка.</w:t>
      </w:r>
    </w:p>
    <w:p w14:paraId="163CADE0" w14:textId="77777777" w:rsidR="0096737A" w:rsidRPr="003761A4" w:rsidRDefault="0096737A" w:rsidP="0096737A">
      <w:pPr>
        <w:keepNext/>
        <w:spacing w:after="120"/>
        <w:ind w:firstLine="0"/>
        <w:rPr>
          <w:rFonts w:ascii="Times New Roman" w:hAnsi="Times New Roman" w:cs="Times New Roman"/>
          <w:b/>
          <w:sz w:val="24"/>
          <w:szCs w:val="24"/>
        </w:rPr>
      </w:pPr>
      <w:r w:rsidRPr="003761A4">
        <w:rPr>
          <w:rFonts w:ascii="Times New Roman" w:hAnsi="Times New Roman" w:cs="Times New Roman"/>
          <w:b/>
          <w:sz w:val="24"/>
          <w:szCs w:val="24"/>
        </w:rPr>
        <w:t>Реализация инфраструктурных проектов</w:t>
      </w:r>
    </w:p>
    <w:p w14:paraId="30E71503" w14:textId="77777777" w:rsidR="0096737A" w:rsidRPr="003761A4" w:rsidRDefault="0096737A" w:rsidP="0096737A">
      <w:pPr>
        <w:pStyle w:val="a3"/>
        <w:numPr>
          <w:ilvl w:val="0"/>
          <w:numId w:val="34"/>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 xml:space="preserve">Развитие механизма дистанционной идентификации с использованием ЕБС. Для повышения удобства использования системы будет осуществляться совершенствование механизмов регистрации биометрических данных. Планируется обеспечить возможность самостоятельной регистрации биометрических данных с помощью защищенного мобильного приложения. Помимо этого, будет проработана возможность использования механизма </w:t>
      </w:r>
      <w:proofErr w:type="spellStart"/>
      <w:r w:rsidRPr="003761A4">
        <w:rPr>
          <w:rFonts w:ascii="Times New Roman" w:eastAsia="Times New Roman" w:hAnsi="Times New Roman" w:cs="Times New Roman"/>
          <w:sz w:val="24"/>
          <w:szCs w:val="24"/>
          <w:lang w:eastAsia="ru-RU"/>
        </w:rPr>
        <w:t>видеоидентификации</w:t>
      </w:r>
      <w:proofErr w:type="spellEnd"/>
      <w:r w:rsidRPr="003761A4">
        <w:rPr>
          <w:rFonts w:ascii="Times New Roman" w:eastAsia="Times New Roman" w:hAnsi="Times New Roman" w:cs="Times New Roman"/>
          <w:sz w:val="24"/>
          <w:szCs w:val="24"/>
          <w:lang w:eastAsia="ru-RU"/>
        </w:rPr>
        <w:t>. В целях широкого использования ЕБС планируется обеспечить создание и развитие финансовых и нефинансовых сервисов, предоставляемых с использованием ЕБС. Будет проработан вопрос о распространении биометрического способа проведения идентификации на физических лиц – нерезидентов без посещения ими Российской Федерации.</w:t>
      </w:r>
    </w:p>
    <w:p w14:paraId="2C1DD521" w14:textId="77777777" w:rsidR="0096737A" w:rsidRPr="003761A4" w:rsidRDefault="0096737A" w:rsidP="0096737A">
      <w:pPr>
        <w:pStyle w:val="a3"/>
        <w:numPr>
          <w:ilvl w:val="0"/>
          <w:numId w:val="34"/>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 xml:space="preserve">Развитие инфраструктуры Цифрового профиля. Планируется расширить перечень и количество участников, использующих Цифровой профиль. Планируется также развитие Цифрового профиля юридического лица. </w:t>
      </w:r>
    </w:p>
    <w:p w14:paraId="0F861FF1" w14:textId="77777777" w:rsidR="0096737A" w:rsidRPr="003761A4" w:rsidRDefault="0096737A" w:rsidP="0096737A">
      <w:pPr>
        <w:pStyle w:val="a3"/>
        <w:numPr>
          <w:ilvl w:val="0"/>
          <w:numId w:val="34"/>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Будут разработаны единые правила обмена данными через Открытые API, а также требования по соблюдению информационной безопасности. Планируется поэтапное внедрение стандартов Открытых API в отношении крупнейших компаний в отдельных секторах финансового рынка. Предполагается проработка с участниками рынка перехода к модели Открытых данных.</w:t>
      </w:r>
    </w:p>
    <w:p w14:paraId="278428EF" w14:textId="77777777" w:rsidR="0096737A" w:rsidRPr="003761A4" w:rsidRDefault="0096737A" w:rsidP="0096737A">
      <w:pPr>
        <w:pStyle w:val="a3"/>
        <w:numPr>
          <w:ilvl w:val="0"/>
          <w:numId w:val="34"/>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Совместно с участниками рынка будет продолжено развитие сервисов на платформе «</w:t>
      </w:r>
      <w:proofErr w:type="spellStart"/>
      <w:r w:rsidRPr="003761A4">
        <w:rPr>
          <w:rFonts w:ascii="Times New Roman" w:eastAsia="Times New Roman" w:hAnsi="Times New Roman" w:cs="Times New Roman"/>
          <w:sz w:val="24"/>
          <w:szCs w:val="24"/>
          <w:lang w:eastAsia="ru-RU"/>
        </w:rPr>
        <w:t>Мастерчейн</w:t>
      </w:r>
      <w:proofErr w:type="spellEnd"/>
      <w:r w:rsidRPr="003761A4">
        <w:rPr>
          <w:rFonts w:ascii="Times New Roman" w:eastAsia="Times New Roman" w:hAnsi="Times New Roman" w:cs="Times New Roman"/>
          <w:sz w:val="24"/>
          <w:szCs w:val="24"/>
          <w:lang w:eastAsia="ru-RU"/>
        </w:rPr>
        <w:t>».</w:t>
      </w:r>
    </w:p>
    <w:p w14:paraId="14231E23" w14:textId="77777777" w:rsidR="0096737A" w:rsidRPr="003761A4" w:rsidRDefault="0096737A" w:rsidP="0096737A">
      <w:pPr>
        <w:pStyle w:val="a3"/>
        <w:numPr>
          <w:ilvl w:val="0"/>
          <w:numId w:val="34"/>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 xml:space="preserve">Изучение, разработка и внедрение </w:t>
      </w:r>
      <w:proofErr w:type="spellStart"/>
      <w:r w:rsidRPr="003761A4">
        <w:rPr>
          <w:rFonts w:ascii="Times New Roman" w:eastAsia="Times New Roman" w:hAnsi="Times New Roman" w:cs="Times New Roman"/>
          <w:sz w:val="24"/>
          <w:szCs w:val="24"/>
          <w:lang w:eastAsia="ru-RU"/>
        </w:rPr>
        <w:t>SupTech</w:t>
      </w:r>
      <w:proofErr w:type="spellEnd"/>
      <w:r w:rsidRPr="003761A4">
        <w:rPr>
          <w:rFonts w:ascii="Times New Roman" w:eastAsia="Times New Roman" w:hAnsi="Times New Roman" w:cs="Times New Roman"/>
          <w:sz w:val="24"/>
          <w:szCs w:val="24"/>
          <w:lang w:eastAsia="ru-RU"/>
        </w:rPr>
        <w:t xml:space="preserve">- и </w:t>
      </w:r>
      <w:proofErr w:type="spellStart"/>
      <w:r w:rsidRPr="003761A4">
        <w:rPr>
          <w:rFonts w:ascii="Times New Roman" w:eastAsia="Times New Roman" w:hAnsi="Times New Roman" w:cs="Times New Roman"/>
          <w:sz w:val="24"/>
          <w:szCs w:val="24"/>
          <w:lang w:eastAsia="ru-RU"/>
        </w:rPr>
        <w:t>RegTech</w:t>
      </w:r>
      <w:proofErr w:type="spellEnd"/>
      <w:r w:rsidRPr="003761A4">
        <w:rPr>
          <w:rFonts w:ascii="Times New Roman" w:eastAsia="Times New Roman" w:hAnsi="Times New Roman" w:cs="Times New Roman"/>
          <w:sz w:val="24"/>
          <w:szCs w:val="24"/>
          <w:lang w:eastAsia="ru-RU"/>
        </w:rPr>
        <w:t xml:space="preserve">-решений в нескольких направлениях, включая анализ и управление рисками, совершенствование процедур допуска на финансовый рынок, выявление неправомерных действий на финансовом рынке, автоматизацию отдельных элементов надзора за участниками финансового рынка и др. </w:t>
      </w:r>
    </w:p>
    <w:p w14:paraId="2247D8DE" w14:textId="77777777" w:rsidR="0096737A" w:rsidRPr="003761A4" w:rsidRDefault="0096737A" w:rsidP="0096737A">
      <w:pPr>
        <w:pStyle w:val="a3"/>
        <w:numPr>
          <w:ilvl w:val="0"/>
          <w:numId w:val="34"/>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Развитие экспериментальных правовых режимов, которые позволят обеспечить пилотирование инновационных решений на финансовом рынке с участием реальных клиентов.</w:t>
      </w:r>
    </w:p>
    <w:p w14:paraId="3957804F" w14:textId="77777777" w:rsidR="0096737A" w:rsidRPr="003761A4" w:rsidRDefault="0096737A" w:rsidP="0096737A">
      <w:pPr>
        <w:pStyle w:val="a3"/>
        <w:numPr>
          <w:ilvl w:val="0"/>
          <w:numId w:val="34"/>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Планируется проработка возможности создания Платформы коммерческих согласий в целях безопасного обмена данными с использованием Открытых API исключительно с согласия клиентов Банк России.</w:t>
      </w:r>
    </w:p>
    <w:p w14:paraId="6CE2315C" w14:textId="77777777" w:rsidR="0096737A" w:rsidRPr="003761A4" w:rsidRDefault="0096737A" w:rsidP="0096737A">
      <w:pPr>
        <w:pStyle w:val="a3"/>
        <w:numPr>
          <w:ilvl w:val="0"/>
          <w:numId w:val="34"/>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Расширение количества ТСП (в т.ч. в сегменте МСП), подключенных к сервису С2В в СБП, а также разработка программы лояльности и развитие международных переводов в СБП.</w:t>
      </w:r>
    </w:p>
    <w:p w14:paraId="3C8C8E62" w14:textId="77777777" w:rsidR="0096737A" w:rsidRPr="003761A4" w:rsidRDefault="0096737A" w:rsidP="0096737A">
      <w:pPr>
        <w:pStyle w:val="a3"/>
        <w:numPr>
          <w:ilvl w:val="0"/>
          <w:numId w:val="34"/>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Реализация Стратегии развития НСПК на 2023–2024 годы</w:t>
      </w:r>
      <w:r w:rsidRPr="003761A4">
        <w:rPr>
          <w:rFonts w:ascii="Times New Roman" w:eastAsia="Times New Roman" w:hAnsi="Times New Roman" w:cs="Times New Roman"/>
          <w:sz w:val="24"/>
          <w:szCs w:val="24"/>
          <w:vertAlign w:val="superscript"/>
          <w:lang w:eastAsia="ru-RU"/>
        </w:rPr>
        <w:footnoteReference w:id="53"/>
      </w:r>
      <w:r w:rsidRPr="003761A4">
        <w:rPr>
          <w:rFonts w:ascii="Times New Roman" w:eastAsia="Times New Roman" w:hAnsi="Times New Roman" w:cs="Times New Roman"/>
          <w:sz w:val="24"/>
          <w:szCs w:val="24"/>
          <w:lang w:eastAsia="ru-RU"/>
        </w:rPr>
        <w:t xml:space="preserve">, развитие финансовых и нефинансовых сервисов на базе карт ПС «Мир», а также продвижение программы лояльности ПС «Мир» и платежного приложения </w:t>
      </w:r>
      <w:proofErr w:type="spellStart"/>
      <w:r w:rsidRPr="003761A4">
        <w:rPr>
          <w:rFonts w:ascii="Times New Roman" w:eastAsia="Times New Roman" w:hAnsi="Times New Roman" w:cs="Times New Roman"/>
          <w:sz w:val="24"/>
          <w:szCs w:val="24"/>
          <w:lang w:eastAsia="ru-RU"/>
        </w:rPr>
        <w:t>Mir</w:t>
      </w:r>
      <w:proofErr w:type="spellEnd"/>
      <w:r w:rsidRPr="003761A4">
        <w:rPr>
          <w:rFonts w:ascii="Times New Roman" w:eastAsia="Times New Roman" w:hAnsi="Times New Roman" w:cs="Times New Roman"/>
          <w:sz w:val="24"/>
          <w:szCs w:val="24"/>
          <w:lang w:eastAsia="ru-RU"/>
        </w:rPr>
        <w:t> </w:t>
      </w:r>
      <w:proofErr w:type="spellStart"/>
      <w:r w:rsidRPr="003761A4">
        <w:rPr>
          <w:rFonts w:ascii="Times New Roman" w:eastAsia="Times New Roman" w:hAnsi="Times New Roman" w:cs="Times New Roman"/>
          <w:sz w:val="24"/>
          <w:szCs w:val="24"/>
          <w:lang w:eastAsia="ru-RU"/>
        </w:rPr>
        <w:t>Pay</w:t>
      </w:r>
      <w:proofErr w:type="spellEnd"/>
      <w:r w:rsidRPr="003761A4">
        <w:rPr>
          <w:rFonts w:ascii="Times New Roman" w:eastAsia="Times New Roman" w:hAnsi="Times New Roman" w:cs="Times New Roman"/>
          <w:sz w:val="24"/>
          <w:szCs w:val="24"/>
          <w:lang w:eastAsia="ru-RU"/>
        </w:rPr>
        <w:t>.</w:t>
      </w:r>
    </w:p>
    <w:p w14:paraId="773F1818" w14:textId="77777777" w:rsidR="0096737A" w:rsidRPr="003761A4" w:rsidRDefault="0096737A" w:rsidP="0096737A">
      <w:pPr>
        <w:pStyle w:val="a3"/>
        <w:numPr>
          <w:ilvl w:val="0"/>
          <w:numId w:val="34"/>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Расширение состава пользователей СПФС за счет привлечения новых пользователей – нерезидентов, взаимодействие с иностранными регуляторами и интеграция с аналогичными системами дружественных стран, а также перевод внутрироссийского трафика обмена финансовыми сообщениями на российские системы (в том числе СПФС)</w:t>
      </w:r>
      <w:r w:rsidRPr="003761A4">
        <w:rPr>
          <w:rFonts w:ascii="Times New Roman" w:eastAsia="Times New Roman" w:hAnsi="Times New Roman" w:cs="Times New Roman"/>
          <w:sz w:val="24"/>
          <w:szCs w:val="24"/>
          <w:vertAlign w:val="superscript"/>
          <w:lang w:eastAsia="ru-RU"/>
        </w:rPr>
        <w:footnoteReference w:id="54"/>
      </w:r>
      <w:r w:rsidRPr="003761A4">
        <w:rPr>
          <w:rFonts w:ascii="Times New Roman" w:eastAsia="Times New Roman" w:hAnsi="Times New Roman" w:cs="Times New Roman"/>
          <w:sz w:val="24"/>
          <w:szCs w:val="24"/>
          <w:lang w:eastAsia="ru-RU"/>
        </w:rPr>
        <w:t>.</w:t>
      </w:r>
    </w:p>
    <w:p w14:paraId="4A8C5065" w14:textId="764F75E5" w:rsidR="0096737A" w:rsidRPr="003761A4" w:rsidRDefault="0096737A" w:rsidP="0096737A">
      <w:pPr>
        <w:pStyle w:val="a3"/>
        <w:numPr>
          <w:ilvl w:val="0"/>
          <w:numId w:val="34"/>
        </w:numPr>
        <w:spacing w:after="120"/>
        <w:ind w:left="426" w:hanging="426"/>
        <w:rPr>
          <w:rFonts w:ascii="Times New Roman" w:eastAsia="Times New Roman" w:hAnsi="Times New Roman" w:cs="Times New Roman"/>
          <w:sz w:val="24"/>
          <w:szCs w:val="24"/>
          <w:lang w:eastAsia="ru-RU"/>
        </w:rPr>
      </w:pPr>
      <w:r w:rsidRPr="003761A4">
        <w:rPr>
          <w:rFonts w:ascii="Times New Roman" w:eastAsia="Times New Roman" w:hAnsi="Times New Roman" w:cs="Times New Roman"/>
          <w:sz w:val="24"/>
          <w:szCs w:val="24"/>
          <w:lang w:eastAsia="ru-RU"/>
        </w:rPr>
        <w:t xml:space="preserve">Обеспечение правового регулирования функционирования платформе цифрового рубля и запуск пилота с реальными цифровыми рублями на ограниченном количестве юридических и физических лиц: функционал переводов между физическими лицами, платежи за товары и услуги с использованием статического QR-кода, </w:t>
      </w:r>
      <w:proofErr w:type="spellStart"/>
      <w:r w:rsidRPr="003761A4">
        <w:rPr>
          <w:rFonts w:ascii="Times New Roman" w:eastAsia="Times New Roman" w:hAnsi="Times New Roman" w:cs="Times New Roman"/>
          <w:sz w:val="24"/>
          <w:szCs w:val="24"/>
          <w:lang w:eastAsia="ru-RU"/>
        </w:rPr>
        <w:t>самоисполняемые</w:t>
      </w:r>
      <w:proofErr w:type="spellEnd"/>
      <w:r w:rsidRPr="003761A4">
        <w:rPr>
          <w:rFonts w:ascii="Times New Roman" w:eastAsia="Times New Roman" w:hAnsi="Times New Roman" w:cs="Times New Roman"/>
          <w:sz w:val="24"/>
          <w:szCs w:val="24"/>
          <w:lang w:eastAsia="ru-RU"/>
        </w:rPr>
        <w:t xml:space="preserve"> сделки.</w:t>
      </w:r>
    </w:p>
    <w:p w14:paraId="2ED25754" w14:textId="77777777" w:rsidR="00BE3E27" w:rsidRPr="003761A4" w:rsidRDefault="00BE3E27" w:rsidP="00E45C37">
      <w:pPr>
        <w:spacing w:after="120"/>
        <w:rPr>
          <w:rFonts w:ascii="Times New Roman" w:hAnsi="Times New Roman" w:cs="Times New Roman"/>
          <w:b/>
          <w:sz w:val="24"/>
          <w:szCs w:val="24"/>
        </w:rPr>
      </w:pPr>
    </w:p>
    <w:p w14:paraId="65F2297F" w14:textId="5F18CDF2" w:rsidR="00114AE4" w:rsidRPr="003761A4" w:rsidRDefault="00B16295" w:rsidP="00A14C01">
      <w:pPr>
        <w:pStyle w:val="3"/>
        <w:rPr>
          <w:rFonts w:ascii="Times New Roman" w:hAnsi="Times New Roman" w:cs="Times New Roman"/>
          <w:b/>
          <w:color w:val="auto"/>
        </w:rPr>
      </w:pPr>
      <w:r w:rsidRPr="003761A4">
        <w:rPr>
          <w:rFonts w:ascii="Times New Roman" w:hAnsi="Times New Roman" w:cs="Times New Roman"/>
          <w:b/>
          <w:color w:val="auto"/>
        </w:rPr>
        <w:t>Республика Таджикистан</w:t>
      </w:r>
    </w:p>
    <w:p w14:paraId="04F78A75" w14:textId="09E2A52C" w:rsidR="00F62DCC" w:rsidRPr="003761A4" w:rsidRDefault="00F62DCC" w:rsidP="00F62DCC">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 xml:space="preserve">Национальный банк </w:t>
      </w:r>
      <w:r w:rsidR="00B16295" w:rsidRPr="003761A4">
        <w:rPr>
          <w:rFonts w:ascii="Times New Roman" w:eastAsia="Times New Roman" w:hAnsi="Times New Roman" w:cs="Times New Roman"/>
          <w:sz w:val="24"/>
          <w:lang w:eastAsia="ru-RU"/>
        </w:rPr>
        <w:t>Таджикистана придерживается</w:t>
      </w:r>
      <w:r w:rsidRPr="003761A4">
        <w:rPr>
          <w:rFonts w:ascii="Times New Roman" w:eastAsia="Times New Roman" w:hAnsi="Times New Roman" w:cs="Times New Roman"/>
          <w:sz w:val="24"/>
          <w:lang w:eastAsia="ru-RU"/>
        </w:rPr>
        <w:t xml:space="preserve"> реформаторской позиции и постепенно совершенствует нормативную правовую базу для обеспечения дальнейшего роста банковского сектора. В настоящее время ведется работа над рядом инициатив в этом направлении, в том числе:</w:t>
      </w:r>
    </w:p>
    <w:p w14:paraId="278767A6" w14:textId="331E5BEA" w:rsidR="00F62DCC" w:rsidRPr="003761A4" w:rsidRDefault="00F62DCC" w:rsidP="00F62DCC">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w:t>
      </w:r>
      <w:r w:rsidRPr="003761A4">
        <w:rPr>
          <w:rFonts w:ascii="Times New Roman" w:eastAsia="Times New Roman" w:hAnsi="Times New Roman" w:cs="Times New Roman"/>
          <w:sz w:val="24"/>
          <w:lang w:eastAsia="ru-RU"/>
        </w:rPr>
        <w:tab/>
        <w:t>готовятся проекты изменений и дополнений в Законы Республики Таджикистан «О микрофинансово</w:t>
      </w:r>
      <w:r w:rsidR="00B16295" w:rsidRPr="003761A4">
        <w:rPr>
          <w:rFonts w:ascii="Times New Roman" w:eastAsia="Times New Roman" w:hAnsi="Times New Roman" w:cs="Times New Roman"/>
          <w:sz w:val="24"/>
          <w:lang w:eastAsia="ru-RU"/>
        </w:rPr>
        <w:t>й</w:t>
      </w:r>
      <w:r w:rsidRPr="003761A4">
        <w:rPr>
          <w:rFonts w:ascii="Times New Roman" w:eastAsia="Times New Roman" w:hAnsi="Times New Roman" w:cs="Times New Roman"/>
          <w:sz w:val="24"/>
          <w:lang w:eastAsia="ru-RU"/>
        </w:rPr>
        <w:t xml:space="preserve"> деятельности» и «Об исламской банковской деятельности»;</w:t>
      </w:r>
    </w:p>
    <w:p w14:paraId="10A0072D" w14:textId="59FD8F33" w:rsidR="00F62DCC" w:rsidRPr="003761A4" w:rsidRDefault="00F62DCC" w:rsidP="00F62DCC">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w:t>
      </w:r>
      <w:r w:rsidRPr="003761A4">
        <w:rPr>
          <w:rFonts w:ascii="Times New Roman" w:eastAsia="Times New Roman" w:hAnsi="Times New Roman" w:cs="Times New Roman"/>
          <w:sz w:val="24"/>
          <w:lang w:eastAsia="ru-RU"/>
        </w:rPr>
        <w:tab/>
        <w:t>начат процесс поэтапного внедрения требований всех компонентов Базеля II и исходя из соображений целесообразности, с учетом готовности банковской системы, соответствующих элементов Базеля III;</w:t>
      </w:r>
    </w:p>
    <w:p w14:paraId="664001D7" w14:textId="0825521C" w:rsidR="00F62DCC" w:rsidRPr="003761A4" w:rsidRDefault="00F62DCC" w:rsidP="00F62DCC">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w:t>
      </w:r>
      <w:r w:rsidRPr="003761A4">
        <w:rPr>
          <w:rFonts w:ascii="Times New Roman" w:eastAsia="Times New Roman" w:hAnsi="Times New Roman" w:cs="Times New Roman"/>
          <w:sz w:val="24"/>
          <w:lang w:eastAsia="ru-RU"/>
        </w:rPr>
        <w:tab/>
        <w:t>в процессе разработки находится документ для проведения стресс-</w:t>
      </w:r>
    </w:p>
    <w:p w14:paraId="409393A9" w14:textId="11975691" w:rsidR="00F62DCC" w:rsidRPr="003761A4" w:rsidRDefault="00F62DCC" w:rsidP="00F62DCC">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тестирования со стороны регулятора (</w:t>
      </w:r>
      <w:proofErr w:type="spellStart"/>
      <w:r w:rsidRPr="003761A4">
        <w:rPr>
          <w:rFonts w:ascii="Times New Roman" w:eastAsia="Times New Roman" w:hAnsi="Times New Roman" w:cs="Times New Roman"/>
          <w:sz w:val="24"/>
          <w:lang w:eastAsia="ru-RU"/>
        </w:rPr>
        <w:t>top-down</w:t>
      </w:r>
      <w:proofErr w:type="spellEnd"/>
      <w:r w:rsidRPr="003761A4">
        <w:rPr>
          <w:rFonts w:ascii="Times New Roman" w:eastAsia="Times New Roman" w:hAnsi="Times New Roman" w:cs="Times New Roman"/>
          <w:sz w:val="24"/>
          <w:lang w:eastAsia="ru-RU"/>
        </w:rPr>
        <w:t>) и Инструкция «О требованиях по проведению стресс-тестирования в кредитных финансовых организациях» (</w:t>
      </w:r>
      <w:proofErr w:type="spellStart"/>
      <w:r w:rsidRPr="003761A4">
        <w:rPr>
          <w:rFonts w:ascii="Times New Roman" w:eastAsia="Times New Roman" w:hAnsi="Times New Roman" w:cs="Times New Roman"/>
          <w:sz w:val="24"/>
          <w:lang w:eastAsia="ru-RU"/>
        </w:rPr>
        <w:t>bo</w:t>
      </w:r>
      <w:r w:rsidRPr="003761A4">
        <w:rPr>
          <w:rFonts w:ascii="Times New Roman" w:eastAsia="Times New Roman" w:hAnsi="Times New Roman" w:cs="Times New Roman"/>
          <w:sz w:val="24"/>
          <w:lang w:val="en-US" w:eastAsia="ru-RU"/>
        </w:rPr>
        <w:t>tt</w:t>
      </w:r>
      <w:r w:rsidRPr="003761A4">
        <w:rPr>
          <w:rFonts w:ascii="Times New Roman" w:eastAsia="Times New Roman" w:hAnsi="Times New Roman" w:cs="Times New Roman"/>
          <w:sz w:val="24"/>
          <w:lang w:eastAsia="ru-RU"/>
        </w:rPr>
        <w:t>om-up</w:t>
      </w:r>
      <w:proofErr w:type="spellEnd"/>
      <w:r w:rsidRPr="003761A4">
        <w:rPr>
          <w:rFonts w:ascii="Times New Roman" w:eastAsia="Times New Roman" w:hAnsi="Times New Roman" w:cs="Times New Roman"/>
          <w:sz w:val="24"/>
          <w:lang w:eastAsia="ru-RU"/>
        </w:rPr>
        <w:t>);</w:t>
      </w:r>
    </w:p>
    <w:p w14:paraId="78948C37" w14:textId="4AA8BE44" w:rsidR="00F62DCC" w:rsidRPr="003761A4" w:rsidRDefault="00F62DCC" w:rsidP="00F62DCC">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w:t>
      </w:r>
      <w:r w:rsidRPr="003761A4">
        <w:rPr>
          <w:rFonts w:ascii="Times New Roman" w:eastAsia="Times New Roman" w:hAnsi="Times New Roman" w:cs="Times New Roman"/>
          <w:sz w:val="24"/>
          <w:lang w:eastAsia="ru-RU"/>
        </w:rPr>
        <w:tab/>
        <w:t>разрабатываются несколько новых подзаконных нормативных документов по урегулированию несостоятельности банков и управлению кризисными ситуациями (нормативные документы по планированию восстановления, процессу принятия решений в сценариях санации, реализации (осуществления) инструментов санации, планам надзорных действий на случай непредвиденных обстоятельств с капиталом, ликвидностью и качеством активов);</w:t>
      </w:r>
    </w:p>
    <w:p w14:paraId="75D4014E" w14:textId="77777777" w:rsidR="00F62DCC" w:rsidRPr="003761A4" w:rsidRDefault="00F62DCC" w:rsidP="00F62DCC">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w:t>
      </w:r>
      <w:r w:rsidRPr="003761A4">
        <w:rPr>
          <w:rFonts w:ascii="Times New Roman" w:eastAsia="Times New Roman" w:hAnsi="Times New Roman" w:cs="Times New Roman"/>
          <w:sz w:val="24"/>
          <w:lang w:eastAsia="ru-RU"/>
        </w:rPr>
        <w:tab/>
        <w:t xml:space="preserve">укрепляется нормативная правовая база в целях регулирования и надзора за исламскими кредитными организациями, в том числе разрабатывается проект “Руководства по реализации исламских банковских операций”, устанавливающий основные принципы корпоративного управления в исламских банках и исламских </w:t>
      </w:r>
      <w:proofErr w:type="spellStart"/>
      <w:r w:rsidRPr="003761A4">
        <w:rPr>
          <w:rFonts w:ascii="Times New Roman" w:eastAsia="Times New Roman" w:hAnsi="Times New Roman" w:cs="Times New Roman"/>
          <w:sz w:val="24"/>
          <w:lang w:eastAsia="ru-RU"/>
        </w:rPr>
        <w:t>микрокредитных</w:t>
      </w:r>
      <w:proofErr w:type="spellEnd"/>
      <w:r w:rsidRPr="003761A4">
        <w:rPr>
          <w:rFonts w:ascii="Times New Roman" w:eastAsia="Times New Roman" w:hAnsi="Times New Roman" w:cs="Times New Roman"/>
          <w:sz w:val="24"/>
          <w:lang w:eastAsia="ru-RU"/>
        </w:rPr>
        <w:t xml:space="preserve"> депозитных организациях;</w:t>
      </w:r>
    </w:p>
    <w:p w14:paraId="6142F9C1" w14:textId="77777777" w:rsidR="00F62DCC" w:rsidRPr="003761A4" w:rsidRDefault="00F62DCC" w:rsidP="00F62DCC">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w:t>
      </w:r>
      <w:r w:rsidRPr="003761A4">
        <w:rPr>
          <w:rFonts w:ascii="Times New Roman" w:eastAsia="Times New Roman" w:hAnsi="Times New Roman" w:cs="Times New Roman"/>
          <w:sz w:val="24"/>
          <w:lang w:eastAsia="ru-RU"/>
        </w:rPr>
        <w:tab/>
        <w:t xml:space="preserve">разрабатывается Инструкция «Об управлении и реструктуризации необслуживаемых кредитов», </w:t>
      </w:r>
      <w:proofErr w:type="spellStart"/>
      <w:r w:rsidRPr="003761A4">
        <w:rPr>
          <w:rFonts w:ascii="Times New Roman" w:eastAsia="Times New Roman" w:hAnsi="Times New Roman" w:cs="Times New Roman"/>
          <w:sz w:val="24"/>
          <w:lang w:eastAsia="ru-RU"/>
        </w:rPr>
        <w:t>вклюиающая</w:t>
      </w:r>
      <w:proofErr w:type="spellEnd"/>
      <w:r w:rsidRPr="003761A4">
        <w:rPr>
          <w:rFonts w:ascii="Times New Roman" w:eastAsia="Times New Roman" w:hAnsi="Times New Roman" w:cs="Times New Roman"/>
          <w:sz w:val="24"/>
          <w:lang w:eastAsia="ru-RU"/>
        </w:rPr>
        <w:t xml:space="preserve"> три схемы восстановления и урегулирования необслуживаемых кредитов, а именно:</w:t>
      </w:r>
    </w:p>
    <w:p w14:paraId="61745B05" w14:textId="1FF75F16" w:rsidR="00F62DCC" w:rsidRPr="003761A4" w:rsidRDefault="00F62DCC" w:rsidP="00F62DCC">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w:t>
      </w:r>
      <w:r w:rsidRPr="003761A4">
        <w:rPr>
          <w:rFonts w:ascii="Times New Roman" w:eastAsia="Times New Roman" w:hAnsi="Times New Roman" w:cs="Times New Roman"/>
          <w:sz w:val="24"/>
          <w:lang w:eastAsia="ru-RU"/>
        </w:rPr>
        <w:tab/>
        <w:t>покупка и продажа необслуживаемых кредитов между финансовыми учреждениями;</w:t>
      </w:r>
    </w:p>
    <w:p w14:paraId="47D4BCF6" w14:textId="65BB0826" w:rsidR="00F62DCC" w:rsidRPr="003761A4" w:rsidRDefault="00F62DCC" w:rsidP="00F62DCC">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w:t>
      </w:r>
      <w:r w:rsidRPr="003761A4">
        <w:rPr>
          <w:rFonts w:ascii="Times New Roman" w:eastAsia="Times New Roman" w:hAnsi="Times New Roman" w:cs="Times New Roman"/>
          <w:sz w:val="24"/>
          <w:lang w:eastAsia="ru-RU"/>
        </w:rPr>
        <w:tab/>
        <w:t>реструктуризация</w:t>
      </w:r>
      <w:r w:rsidRPr="003761A4">
        <w:rPr>
          <w:rFonts w:ascii="Times New Roman" w:eastAsia="Times New Roman" w:hAnsi="Times New Roman" w:cs="Times New Roman"/>
          <w:sz w:val="24"/>
          <w:lang w:eastAsia="ru-RU"/>
        </w:rPr>
        <w:tab/>
        <w:t>необслуживаемых</w:t>
      </w:r>
      <w:r w:rsidRPr="003761A4">
        <w:rPr>
          <w:rFonts w:ascii="Times New Roman" w:eastAsia="Times New Roman" w:hAnsi="Times New Roman" w:cs="Times New Roman"/>
          <w:sz w:val="24"/>
          <w:lang w:eastAsia="ru-RU"/>
        </w:rPr>
        <w:tab/>
        <w:t>кредитов,</w:t>
      </w:r>
    </w:p>
    <w:p w14:paraId="476203A8" w14:textId="77777777" w:rsidR="00F62DCC" w:rsidRPr="003761A4" w:rsidRDefault="00F62DCC" w:rsidP="00F62DCC">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деноминированных в иностранной валюте;</w:t>
      </w:r>
    </w:p>
    <w:p w14:paraId="16331927" w14:textId="7085F27A" w:rsidR="00F62DCC" w:rsidRPr="003761A4" w:rsidRDefault="00F62DCC" w:rsidP="00F62DCC">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w:t>
      </w:r>
      <w:r w:rsidRPr="003761A4">
        <w:rPr>
          <w:rFonts w:ascii="Times New Roman" w:eastAsia="Times New Roman" w:hAnsi="Times New Roman" w:cs="Times New Roman"/>
          <w:sz w:val="24"/>
          <w:lang w:eastAsia="ru-RU"/>
        </w:rPr>
        <w:tab/>
        <w:t>компромиссные соглашения с должниками;</w:t>
      </w:r>
    </w:p>
    <w:p w14:paraId="021194DB" w14:textId="536BEE68" w:rsidR="00F62DCC" w:rsidRPr="003761A4" w:rsidRDefault="00F62DCC" w:rsidP="00F62DCC">
      <w:pPr>
        <w:spacing w:after="120"/>
        <w:rPr>
          <w:rFonts w:ascii="Times New Roman" w:eastAsia="Times New Roman" w:hAnsi="Times New Roman" w:cs="Times New Roman"/>
          <w:sz w:val="24"/>
          <w:lang w:eastAsia="ru-RU"/>
        </w:rPr>
      </w:pPr>
      <w:r w:rsidRPr="003761A4">
        <w:rPr>
          <w:rFonts w:ascii="Times New Roman" w:eastAsia="Times New Roman" w:hAnsi="Times New Roman" w:cs="Times New Roman"/>
          <w:sz w:val="24"/>
          <w:lang w:eastAsia="ru-RU"/>
        </w:rPr>
        <w:t>-</w:t>
      </w:r>
      <w:r w:rsidRPr="003761A4">
        <w:rPr>
          <w:rFonts w:ascii="Times New Roman" w:eastAsia="Times New Roman" w:hAnsi="Times New Roman" w:cs="Times New Roman"/>
          <w:sz w:val="24"/>
          <w:lang w:eastAsia="ru-RU"/>
        </w:rPr>
        <w:tab/>
        <w:t xml:space="preserve">начата работа по разработке Инструкции «По управлению риском ликвидности в кредитных организациях».  </w:t>
      </w:r>
    </w:p>
    <w:p w14:paraId="162EEAA5" w14:textId="6F8EB470" w:rsidR="00114AE4" w:rsidRPr="003761A4" w:rsidRDefault="00F62DCC" w:rsidP="00F62DCC">
      <w:pPr>
        <w:spacing w:after="120"/>
        <w:rPr>
          <w:rFonts w:ascii="Times New Roman" w:hAnsi="Times New Roman" w:cs="Times New Roman"/>
          <w:b/>
          <w:sz w:val="24"/>
          <w:szCs w:val="24"/>
        </w:rPr>
      </w:pPr>
      <w:r w:rsidRPr="003761A4">
        <w:rPr>
          <w:rFonts w:ascii="Times New Roman" w:eastAsia="Times New Roman" w:hAnsi="Times New Roman" w:cs="Times New Roman"/>
          <w:sz w:val="24"/>
          <w:lang w:eastAsia="ru-RU"/>
        </w:rPr>
        <w:t xml:space="preserve">Также, отмечаем, что в 2022 году на основании норм и принципов, установленных законодательством, международными стандартами, анализом состояния финансовой </w:t>
      </w:r>
      <w:proofErr w:type="spellStart"/>
      <w:r w:rsidRPr="003761A4">
        <w:rPr>
          <w:rFonts w:ascii="Times New Roman" w:eastAsia="Times New Roman" w:hAnsi="Times New Roman" w:cs="Times New Roman"/>
          <w:sz w:val="24"/>
          <w:lang w:eastAsia="ru-RU"/>
        </w:rPr>
        <w:t>доступпости</w:t>
      </w:r>
      <w:proofErr w:type="spellEnd"/>
      <w:r w:rsidRPr="003761A4">
        <w:rPr>
          <w:rFonts w:ascii="Times New Roman" w:eastAsia="Times New Roman" w:hAnsi="Times New Roman" w:cs="Times New Roman"/>
          <w:sz w:val="24"/>
          <w:lang w:eastAsia="ru-RU"/>
        </w:rPr>
        <w:t xml:space="preserve"> и перспектив ее дальнейшего развития, была принята Национальная стратегия финансовой инклюзивности Республики Таджикистан на 2022 — 2026 годы (далее — НФИС), включающая четыре ключевых направления - это каналы доставки и цифровые финансовые услуги, разнообразие финансовых продуктов, защита прав потребителей финансовых услуг и финансовая грамотность. Реализация данной стратегии поможет Таджикистану сделать еще один шаг к инновационной фазе развития.</w:t>
      </w:r>
    </w:p>
    <w:p w14:paraId="03BAAAA6" w14:textId="2721EED1" w:rsidR="007F6B37" w:rsidRPr="003761A4" w:rsidRDefault="007F6B37" w:rsidP="00E45C37">
      <w:pPr>
        <w:spacing w:after="120"/>
        <w:rPr>
          <w:rFonts w:ascii="Times New Roman" w:hAnsi="Times New Roman" w:cs="Times New Roman"/>
          <w:b/>
          <w:sz w:val="24"/>
          <w:szCs w:val="24"/>
        </w:rPr>
      </w:pPr>
    </w:p>
    <w:sectPr w:rsidR="007F6B37" w:rsidRPr="003761A4" w:rsidSect="00370F29">
      <w:headerReference w:type="default" r:id="rId8"/>
      <w:pgSz w:w="11906" w:h="16838"/>
      <w:pgMar w:top="1134" w:right="850" w:bottom="1134" w:left="1560" w:header="708" w:footer="708" w:gutter="0"/>
      <w:paperSrc w:first="263" w:other="26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5BF1F" w14:textId="77777777" w:rsidR="00905C08" w:rsidRDefault="00905C08" w:rsidP="00FE0310">
      <w:r>
        <w:separator/>
      </w:r>
    </w:p>
  </w:endnote>
  <w:endnote w:type="continuationSeparator" w:id="0">
    <w:p w14:paraId="49516119" w14:textId="77777777" w:rsidR="00905C08" w:rsidRDefault="00905C08" w:rsidP="00FE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tem Text Italic">
    <w:panose1 w:val="00000000000000000000"/>
    <w:charset w:val="00"/>
    <w:family w:val="swiss"/>
    <w:notTrueType/>
    <w:pitch w:val="variable"/>
    <w:sig w:usb0="00000001" w:usb1="5000204B" w:usb2="00000024" w:usb3="00000000" w:csb0="00000097" w:csb1="00000000"/>
  </w:font>
  <w:font w:name="Stem Text">
    <w:altName w:val="Arial"/>
    <w:panose1 w:val="00000000000000000000"/>
    <w:charset w:val="00"/>
    <w:family w:val="swiss"/>
    <w:notTrueType/>
    <w:pitch w:val="variable"/>
    <w:sig w:usb0="00000001" w:usb1="5000204B" w:usb2="00000024" w:usb3="00000000" w:csb0="00000097"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A9A4E" w14:textId="77777777" w:rsidR="00905C08" w:rsidRDefault="00905C08" w:rsidP="00FE0310">
      <w:r>
        <w:separator/>
      </w:r>
    </w:p>
  </w:footnote>
  <w:footnote w:type="continuationSeparator" w:id="0">
    <w:p w14:paraId="1CA97804" w14:textId="77777777" w:rsidR="00905C08" w:rsidRDefault="00905C08" w:rsidP="00FE0310">
      <w:r>
        <w:continuationSeparator/>
      </w:r>
    </w:p>
  </w:footnote>
  <w:footnote w:id="1">
    <w:p w14:paraId="3C4C7721" w14:textId="77777777" w:rsidR="001A2892" w:rsidRDefault="001A2892" w:rsidP="00F76FAB">
      <w:pPr>
        <w:pStyle w:val="a6"/>
      </w:pPr>
      <w:r>
        <w:rPr>
          <w:rStyle w:val="a8"/>
        </w:rPr>
        <w:footnoteRef/>
      </w:r>
      <w:r>
        <w:t xml:space="preserve"> </w:t>
      </w:r>
      <w:r w:rsidRPr="00A70C3A">
        <w:t>Данные до подтверждения аудиторской организацией</w:t>
      </w:r>
      <w:r>
        <w:t>.</w:t>
      </w:r>
    </w:p>
  </w:footnote>
  <w:footnote w:id="2">
    <w:p w14:paraId="5ADDFDF7" w14:textId="39749A2E" w:rsidR="001A2892" w:rsidRPr="00AE4E6B" w:rsidRDefault="001A2892">
      <w:pPr>
        <w:pStyle w:val="a6"/>
      </w:pPr>
      <w:r w:rsidRPr="00AE4E6B">
        <w:rPr>
          <w:rStyle w:val="a8"/>
        </w:rPr>
        <w:footnoteRef/>
      </w:r>
      <w:r w:rsidRPr="00AE4E6B">
        <w:t xml:space="preserve"> </w:t>
      </w:r>
      <w:hyperlink r:id="rId1" w:history="1">
        <w:r w:rsidRPr="00AE4E6B">
          <w:rPr>
            <w:rStyle w:val="af1"/>
            <w:lang w:val="ky-KG"/>
          </w:rPr>
          <w:t>https://www.gov.kz/memleket/entities/ardfm/documents/details/449076?lang=ru</w:t>
        </w:r>
      </w:hyperlink>
    </w:p>
  </w:footnote>
  <w:footnote w:id="3">
    <w:p w14:paraId="36D9ECE5" w14:textId="77777777" w:rsidR="001A2892" w:rsidRDefault="001A2892" w:rsidP="00192800">
      <w:pPr>
        <w:pStyle w:val="a6"/>
        <w:ind w:firstLine="0"/>
      </w:pPr>
      <w:r>
        <w:rPr>
          <w:rStyle w:val="a8"/>
        </w:rPr>
        <w:footnoteRef/>
      </w:r>
      <w:r>
        <w:t xml:space="preserve"> Решения Совета директоров государственной корпорации «Агентство по страхованию вкладов» от 25.02.2022 (протокол № 2), от 28.06.2022 (протокол № 4).</w:t>
      </w:r>
    </w:p>
  </w:footnote>
  <w:footnote w:id="4">
    <w:p w14:paraId="6161E515" w14:textId="77777777" w:rsidR="001A2892" w:rsidRDefault="001A2892" w:rsidP="00192800">
      <w:pPr>
        <w:pStyle w:val="a6"/>
        <w:ind w:firstLine="0"/>
      </w:pPr>
      <w:r>
        <w:rPr>
          <w:rStyle w:val="a8"/>
        </w:rPr>
        <w:footnoteRef/>
      </w:r>
      <w:r>
        <w:t xml:space="preserve"> Решение Совета директоров государственной корпорации «Агентство по страхованию вкладов» от 19.12.2022 (протокол № 6).</w:t>
      </w:r>
    </w:p>
  </w:footnote>
  <w:footnote w:id="5">
    <w:p w14:paraId="3E7C5A1D" w14:textId="2C6C431F" w:rsidR="001A2892" w:rsidRDefault="001A2892" w:rsidP="0046564A">
      <w:pPr>
        <w:pStyle w:val="a6"/>
        <w:ind w:firstLine="0"/>
      </w:pPr>
      <w:r>
        <w:rPr>
          <w:rStyle w:val="a8"/>
        </w:rPr>
        <w:footnoteRef/>
      </w:r>
      <w:r>
        <w:t xml:space="preserve"> Пресс-релиз Банка России от 24.05.2023.</w:t>
      </w:r>
    </w:p>
  </w:footnote>
  <w:footnote w:id="6">
    <w:p w14:paraId="37AAC0A1" w14:textId="7DD337B1" w:rsidR="001A2892" w:rsidRDefault="001A2892" w:rsidP="0046564A">
      <w:pPr>
        <w:pStyle w:val="a6"/>
        <w:ind w:firstLine="0"/>
      </w:pPr>
      <w:r>
        <w:rPr>
          <w:rStyle w:val="a8"/>
        </w:rPr>
        <w:footnoteRef/>
      </w:r>
      <w:r>
        <w:t xml:space="preserve"> </w:t>
      </w:r>
      <w:r>
        <w:rPr>
          <w:color w:val="000000"/>
        </w:rPr>
        <w:t>Информационное письмо Банка России от 30.12.2022 № ИН-03 - 23 / 160 «О подходах к формированию резервов на возможные потери по заблокированным активам».</w:t>
      </w:r>
      <w:r>
        <w:t xml:space="preserve"> Одновременно до конца года в нормативных актах будет реализована возможность поэтапно признавать потери по заблокированным активам по 31.12.2032 (пресс-релиз Банка России от 24.05.2023).</w:t>
      </w:r>
    </w:p>
  </w:footnote>
  <w:footnote w:id="7">
    <w:p w14:paraId="45456B0C" w14:textId="2E5AD906" w:rsidR="001A2892" w:rsidRDefault="001A2892" w:rsidP="0046564A">
      <w:pPr>
        <w:pStyle w:val="a6"/>
        <w:ind w:firstLine="0"/>
      </w:pPr>
      <w:r>
        <w:rPr>
          <w:rStyle w:val="a8"/>
        </w:rPr>
        <w:footnoteRef/>
      </w:r>
      <w:r>
        <w:t xml:space="preserve"> </w:t>
      </w:r>
      <w:r>
        <w:rPr>
          <w:color w:val="000000"/>
        </w:rPr>
        <w:t xml:space="preserve">Решение Совета директоров Банка России от 29.12.2022 «О временном снижении минимально допустимых числовых значений надбавки поддержания достаточности капитала и надбавки за системную значимость, условиях распределения прибыли и компенсационных и стимулирующих выплат». </w:t>
      </w:r>
      <w:r>
        <w:t>Эта норма будет закреплена в Инструкции Банка России от 29.11.2019 № 199-И «Об обязательных нормативах и надбавках к нормативам достаточности капитала банков с универсальной лицензией», вступление в силу изменений планируется до 01.07.2023 (пресс-релиз Банка России от 24.05.2023).</w:t>
      </w:r>
    </w:p>
  </w:footnote>
  <w:footnote w:id="8">
    <w:p w14:paraId="0AAA7ACC" w14:textId="77777777" w:rsidR="001A2892" w:rsidRDefault="001A2892" w:rsidP="00645456">
      <w:pPr>
        <w:pStyle w:val="a6"/>
        <w:ind w:firstLine="0"/>
      </w:pPr>
      <w:r>
        <w:rPr>
          <w:rStyle w:val="a8"/>
        </w:rPr>
        <w:footnoteRef/>
      </w:r>
      <w:r>
        <w:t xml:space="preserve"> Программы ипотеки с субсидией от застройщика по экстремально низким ставкам (вплоть до 0,01% годовых), получившие широкое распространение в 2022 году, предполагают завышение стоимости жилья и несут риски как для заемщиков, так и для банков. В случае неплатежеспособности заемщика стоимости залога может быть недостаточно для покрытия обязательств заемщика перед банком даже при сохранении уровня цен на жилье. В свою очередь банки могут недоучитывать процентный риск, рассчитывая на достаточно быстрое (как по рыночным кредитам) досрочное погашение таких кредитов, выдаваемых на 20-30 лет. </w:t>
      </w:r>
    </w:p>
  </w:footnote>
  <w:footnote w:id="9">
    <w:p w14:paraId="671518FF" w14:textId="77777777" w:rsidR="001A2892" w:rsidRDefault="001A2892" w:rsidP="00192800">
      <w:pPr>
        <w:pStyle w:val="a6"/>
        <w:ind w:firstLine="0"/>
      </w:pPr>
      <w:r>
        <w:rPr>
          <w:rStyle w:val="a8"/>
        </w:rPr>
        <w:footnoteRef/>
      </w:r>
      <w:r>
        <w:t xml:space="preserve"> Кредиты на финансирование по договору долевого участия в строительстве.</w:t>
      </w:r>
    </w:p>
  </w:footnote>
  <w:footnote w:id="10">
    <w:p w14:paraId="6BC961CD" w14:textId="5FFBEA9B" w:rsidR="001A2892" w:rsidRPr="00F525E0" w:rsidRDefault="001A2892" w:rsidP="00BC32F5">
      <w:pPr>
        <w:pStyle w:val="a6"/>
        <w:ind w:firstLine="0"/>
      </w:pPr>
      <w:r w:rsidRPr="00F525E0">
        <w:rPr>
          <w:rStyle w:val="a8"/>
        </w:rPr>
        <w:footnoteRef/>
      </w:r>
      <w:r w:rsidRPr="00F525E0">
        <w:t xml:space="preserve"> </w:t>
      </w:r>
      <w:r>
        <w:t>Д</w:t>
      </w:r>
      <w:r w:rsidRPr="00F525E0">
        <w:t xml:space="preserve">оля кредитов заемщикам с высокой долговой нагрузкой, т.е. с ПДН более 80%, </w:t>
      </w:r>
      <w:r>
        <w:t xml:space="preserve">в </w:t>
      </w:r>
      <w:r>
        <w:rPr>
          <w:lang w:val="en-US"/>
        </w:rPr>
        <w:t>I</w:t>
      </w:r>
      <w:r>
        <w:t xml:space="preserve"> и </w:t>
      </w:r>
      <w:r>
        <w:rPr>
          <w:lang w:val="en-US"/>
        </w:rPr>
        <w:t>II</w:t>
      </w:r>
      <w:r>
        <w:t xml:space="preserve"> кварталах 2023 года </w:t>
      </w:r>
      <w:r w:rsidRPr="00F525E0">
        <w:t>не должна превышать 25% выдач, а кредиты на срок более 5 лет – 10%</w:t>
      </w:r>
      <w:r>
        <w:t xml:space="preserve">. С учетом адаптации банков к МПЛ, а также сохранения устойчивой динамики необеспеченного потребительского кредитования в марте-апреле Банк России ужесточает значения МПЛ для достижения более сбалансированной структуры кредитования и снижения закредитованности граждан. МПЛ для III квартала 2023 года сокращаются на 5 </w:t>
      </w:r>
      <w:proofErr w:type="spellStart"/>
      <w:r>
        <w:t>п.п</w:t>
      </w:r>
      <w:proofErr w:type="spellEnd"/>
      <w:r>
        <w:t>. по сравнению со значениями для II квартала.</w:t>
      </w:r>
    </w:p>
  </w:footnote>
  <w:footnote w:id="11">
    <w:p w14:paraId="08FC506B" w14:textId="77777777" w:rsidR="001A2892" w:rsidRDefault="001A2892" w:rsidP="004665A1">
      <w:pPr>
        <w:pStyle w:val="a6"/>
        <w:ind w:firstLine="708"/>
      </w:pPr>
      <w:r>
        <w:rPr>
          <w:rStyle w:val="a8"/>
        </w:rPr>
        <w:footnoteRef/>
      </w:r>
      <w:r>
        <w:t xml:space="preserve"> Для целей настоящего отчета:</w:t>
      </w:r>
    </w:p>
    <w:p w14:paraId="52A5CE4B" w14:textId="77777777" w:rsidR="001A2892" w:rsidRDefault="001A2892" w:rsidP="004665A1">
      <w:pPr>
        <w:pStyle w:val="a6"/>
      </w:pPr>
      <w:r>
        <w:t>- государственные банки – банки, в уставных фондах которых более 50 процентов акций (долей в уставных фондах фондах) принадлежит государству;</w:t>
      </w:r>
    </w:p>
    <w:p w14:paraId="3DE800A4" w14:textId="77777777" w:rsidR="001A2892" w:rsidRDefault="001A2892" w:rsidP="004665A1">
      <w:pPr>
        <w:pStyle w:val="a6"/>
      </w:pPr>
      <w:r>
        <w:t xml:space="preserve">- иностранные банки – </w:t>
      </w:r>
      <w:r w:rsidRPr="00B61A23">
        <w:t>банки, в которых доля иностранных инвесторов в уставных фондах превышает 50</w:t>
      </w:r>
      <w:r>
        <w:t> </w:t>
      </w:r>
      <w:r w:rsidRPr="00B61A23">
        <w:t>процентов</w:t>
      </w:r>
      <w:r>
        <w:t>;</w:t>
      </w:r>
    </w:p>
    <w:p w14:paraId="086D74EA" w14:textId="77777777" w:rsidR="001A2892" w:rsidRDefault="001A2892" w:rsidP="004665A1">
      <w:pPr>
        <w:pStyle w:val="a6"/>
      </w:pPr>
      <w:r>
        <w:t>- частные банки – банки, которые не относятся к иностранным и государственным банкам.</w:t>
      </w:r>
    </w:p>
  </w:footnote>
  <w:footnote w:id="12">
    <w:p w14:paraId="49D822B1" w14:textId="77777777" w:rsidR="001A2892" w:rsidRDefault="001A2892" w:rsidP="0096737A">
      <w:pPr>
        <w:autoSpaceDE w:val="0"/>
        <w:autoSpaceDN w:val="0"/>
        <w:adjustRightInd w:val="0"/>
        <w:ind w:firstLine="0"/>
      </w:pPr>
      <w:r w:rsidRPr="00742D48">
        <w:rPr>
          <w:rStyle w:val="a8"/>
          <w:rFonts w:ascii="Times New Roman" w:hAnsi="Times New Roman"/>
          <w:sz w:val="20"/>
          <w:szCs w:val="20"/>
        </w:rPr>
        <w:footnoteRef/>
      </w:r>
      <w:r w:rsidRPr="00742D48">
        <w:rPr>
          <w:rFonts w:ascii="Times New Roman" w:hAnsi="Times New Roman"/>
          <w:sz w:val="20"/>
          <w:szCs w:val="20"/>
        </w:rPr>
        <w:t> Федеральный закон от 14.03.2022 № 55-ФЗ «О внесении изменений в статьи 6 и 7 Федерального закона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 и статью 21 Федерального закона «О внесении изменений в отдельные законодательные акты Российской Федерации» (в редакции Федерального закона от 19 декабря 2022 года № 519-ФЗ «О внесении изменений в отдельные законодательные акты Российской Федерации и приостановлении действия отдельных положений законодательных актов Российской Федерации».</w:t>
      </w:r>
    </w:p>
  </w:footnote>
  <w:footnote w:id="13">
    <w:p w14:paraId="03B7C7B5" w14:textId="77777777" w:rsidR="001A2892" w:rsidRDefault="001A2892" w:rsidP="0096737A">
      <w:pPr>
        <w:autoSpaceDE w:val="0"/>
        <w:autoSpaceDN w:val="0"/>
        <w:adjustRightInd w:val="0"/>
        <w:ind w:firstLine="0"/>
      </w:pPr>
      <w:r w:rsidRPr="00742D48">
        <w:rPr>
          <w:rStyle w:val="a8"/>
          <w:rFonts w:ascii="Times New Roman" w:hAnsi="Times New Roman"/>
          <w:sz w:val="20"/>
          <w:szCs w:val="20"/>
        </w:rPr>
        <w:footnoteRef/>
      </w:r>
      <w:r w:rsidRPr="00742D48">
        <w:rPr>
          <w:rFonts w:ascii="Times New Roman" w:hAnsi="Times New Roman"/>
          <w:sz w:val="20"/>
          <w:szCs w:val="20"/>
        </w:rPr>
        <w:t xml:space="preserve">  Решение Совета директоров Банка России от  18.03.2022 опубликовано на официальном сайте Банка России в информационно-телекоммуникационной сети «Интернет» </w:t>
      </w:r>
      <w:hyperlink r:id="rId2" w:history="1">
        <w:r w:rsidRPr="00742D48">
          <w:rPr>
            <w:rStyle w:val="af1"/>
            <w:rFonts w:ascii="Times New Roman" w:hAnsi="Times New Roman"/>
            <w:sz w:val="20"/>
            <w:szCs w:val="20"/>
          </w:rPr>
          <w:t>http://www.cbr.ru/about_br/dir/rsd_2022-03-18/</w:t>
        </w:r>
      </w:hyperlink>
    </w:p>
  </w:footnote>
  <w:footnote w:id="14">
    <w:p w14:paraId="3C751158" w14:textId="77777777" w:rsidR="001A2892" w:rsidRDefault="001A2892" w:rsidP="0096737A">
      <w:pPr>
        <w:autoSpaceDE w:val="0"/>
        <w:autoSpaceDN w:val="0"/>
        <w:adjustRightInd w:val="0"/>
        <w:ind w:firstLine="0"/>
      </w:pPr>
      <w:r w:rsidRPr="00742D48">
        <w:rPr>
          <w:rStyle w:val="a8"/>
          <w:rFonts w:ascii="Times New Roman" w:hAnsi="Times New Roman"/>
          <w:sz w:val="20"/>
          <w:szCs w:val="20"/>
        </w:rPr>
        <w:footnoteRef/>
      </w:r>
      <w:r w:rsidRPr="00742D48">
        <w:rPr>
          <w:rFonts w:ascii="Times New Roman" w:hAnsi="Times New Roman"/>
          <w:sz w:val="20"/>
          <w:szCs w:val="20"/>
        </w:rPr>
        <w:t xml:space="preserve"> Решение Совета директоров Банка России от  23.12.2022 опубликовано на официальном сайте Банка России в информационно-телекоммуникационной сети «Интернет» (</w:t>
      </w:r>
      <w:hyperlink r:id="rId3" w:history="1">
        <w:r w:rsidRPr="00742D48">
          <w:rPr>
            <w:rStyle w:val="af1"/>
            <w:rFonts w:ascii="Times New Roman" w:hAnsi="Times New Roman"/>
            <w:sz w:val="20"/>
            <w:szCs w:val="20"/>
          </w:rPr>
          <w:t>http://www.cbr.ru/about_br/dir/rsd_2022-12-23_14_01/</w:t>
        </w:r>
      </w:hyperlink>
      <w:r w:rsidRPr="00742D48">
        <w:rPr>
          <w:rStyle w:val="af1"/>
          <w:rFonts w:ascii="Times New Roman" w:hAnsi="Times New Roman"/>
          <w:sz w:val="20"/>
          <w:szCs w:val="20"/>
        </w:rPr>
        <w:t>).</w:t>
      </w:r>
    </w:p>
  </w:footnote>
  <w:footnote w:id="15">
    <w:p w14:paraId="72272559" w14:textId="77777777" w:rsidR="001A2892" w:rsidRDefault="001A2892" w:rsidP="0096737A">
      <w:pPr>
        <w:pStyle w:val="a6"/>
        <w:ind w:firstLine="0"/>
      </w:pPr>
      <w:r w:rsidRPr="00742D48">
        <w:rPr>
          <w:rStyle w:val="a8"/>
        </w:rPr>
        <w:footnoteRef/>
      </w:r>
      <w:r w:rsidRPr="00742D48">
        <w:t xml:space="preserve"> Федеральный закон от 14.07.2022 N 292-ФЗ «О внесении изменений в отдельные законодательные акты Российской Федерации, признании утратившим силу абзаца шестого части первой статьи 7 Закона Российской Федерации «О государственной тайне», приостановлении действия отдельных положений законодательных актов Российской Федерации и об установлении особенностей регулирования корпоративных отношений в 2022 и 2023 годах».</w:t>
      </w:r>
    </w:p>
  </w:footnote>
  <w:footnote w:id="16">
    <w:p w14:paraId="62D0B301" w14:textId="77777777" w:rsidR="001A2892" w:rsidRDefault="001A2892" w:rsidP="0096737A">
      <w:pPr>
        <w:pStyle w:val="a6"/>
        <w:ind w:firstLine="0"/>
      </w:pPr>
      <w:r w:rsidRPr="00742D48">
        <w:rPr>
          <w:rStyle w:val="a8"/>
        </w:rPr>
        <w:footnoteRef/>
      </w:r>
      <w:r w:rsidRPr="00742D48">
        <w:t xml:space="preserve"> Указ Президента Российской Федерации от 05.08.2022 № 520 «О применении специальных экономических мер в финансовой и топливно-энергетической сферах в связи с недружественными действиями некоторых иностранных государств и международных организаций».</w:t>
      </w:r>
    </w:p>
  </w:footnote>
  <w:footnote w:id="17">
    <w:p w14:paraId="7B7007F3" w14:textId="77777777" w:rsidR="001A2892" w:rsidRDefault="001A2892" w:rsidP="0096737A">
      <w:pPr>
        <w:pStyle w:val="a6"/>
        <w:ind w:firstLine="0"/>
      </w:pPr>
      <w:r w:rsidRPr="00742D48">
        <w:rPr>
          <w:rStyle w:val="a8"/>
        </w:rPr>
        <w:footnoteRef/>
      </w:r>
      <w:r w:rsidRPr="00742D48">
        <w:t xml:space="preserve"> Указ Президента Российской Федерации от 15.10.2022 № 737 «О некоторых вопросах осуществления (исполнения) отдельных видов сделок (операций)».</w:t>
      </w:r>
    </w:p>
  </w:footnote>
  <w:footnote w:id="18">
    <w:p w14:paraId="13EDE646" w14:textId="77777777" w:rsidR="001A2892" w:rsidRDefault="001A2892" w:rsidP="0096737A">
      <w:pPr>
        <w:pStyle w:val="a6"/>
        <w:ind w:firstLine="0"/>
      </w:pPr>
      <w:r w:rsidRPr="00742D48">
        <w:rPr>
          <w:rStyle w:val="a8"/>
        </w:rPr>
        <w:footnoteRef/>
      </w:r>
      <w:r w:rsidRPr="00742D48">
        <w:t xml:space="preserve"> </w:t>
      </w:r>
      <w:r w:rsidRPr="00742D48">
        <w:rPr>
          <w:lang w:eastAsia="en-US"/>
        </w:rPr>
        <w:t>Распоряжение Президента РФ от 26.10.2022 N 357-рп «Об утверждении перечня российских кредитных организаций, в отношении которых установлен запрет на сделки (операции) с акциями, долями (вкладами), составляющими их уставные капиталы».</w:t>
      </w:r>
    </w:p>
  </w:footnote>
  <w:footnote w:id="19">
    <w:p w14:paraId="28A7BB9C" w14:textId="77777777" w:rsidR="001A2892" w:rsidRDefault="001A2892" w:rsidP="0096737A">
      <w:pPr>
        <w:autoSpaceDE w:val="0"/>
        <w:autoSpaceDN w:val="0"/>
        <w:adjustRightInd w:val="0"/>
        <w:ind w:firstLine="0"/>
      </w:pPr>
      <w:r w:rsidRPr="00742D48">
        <w:rPr>
          <w:rStyle w:val="a8"/>
          <w:rFonts w:ascii="Times New Roman" w:hAnsi="Times New Roman"/>
          <w:sz w:val="20"/>
          <w:szCs w:val="20"/>
        </w:rPr>
        <w:footnoteRef/>
      </w:r>
      <w:r w:rsidRPr="00742D48">
        <w:rPr>
          <w:rFonts w:ascii="Times New Roman" w:hAnsi="Times New Roman"/>
          <w:sz w:val="20"/>
          <w:szCs w:val="20"/>
        </w:rPr>
        <w:t xml:space="preserve"> Генеральное соглашение от 27.08.2015 № БР-Д-12-4/436/01-01-14/18191 «Об информационном взаимодействии между Центральным банком Российской Федерации и Федеральной службой по финансовому мониторингу, осуществляемом в соответствии с Федеральным законом «О противодействии легализации (отмыванию) доходов, полученных преступным путем, и финансированию терроризма».</w:t>
      </w:r>
    </w:p>
  </w:footnote>
  <w:footnote w:id="20">
    <w:p w14:paraId="45D521A5" w14:textId="77777777" w:rsidR="001A2892" w:rsidRDefault="001A2892" w:rsidP="0096737A">
      <w:pPr>
        <w:autoSpaceDE w:val="0"/>
        <w:autoSpaceDN w:val="0"/>
        <w:adjustRightInd w:val="0"/>
        <w:ind w:firstLine="0"/>
      </w:pPr>
      <w:r w:rsidRPr="00742D48">
        <w:rPr>
          <w:rStyle w:val="a8"/>
          <w:rFonts w:ascii="Times New Roman" w:hAnsi="Times New Roman"/>
          <w:sz w:val="20"/>
          <w:szCs w:val="20"/>
        </w:rPr>
        <w:footnoteRef/>
      </w:r>
      <w:r w:rsidRPr="00742D48">
        <w:rPr>
          <w:rFonts w:ascii="Times New Roman" w:hAnsi="Times New Roman"/>
          <w:sz w:val="20"/>
          <w:szCs w:val="20"/>
        </w:rPr>
        <w:t xml:space="preserve"> Решение Совета директоров от 27.09.2022 «Об установлении уровней кредитных рейтингов в целях применения Положения Банка России от 28.12.2017 № 626-П и Инструкции Банка России от 02.04.2010 № 135-И». опубликовано на официальном сайте Банка России в информационно-телекоммуникационной сети «Интернет» (</w:t>
      </w:r>
      <w:hyperlink r:id="rId4" w:history="1">
        <w:r w:rsidRPr="00742D48">
          <w:rPr>
            <w:rStyle w:val="af1"/>
            <w:rFonts w:ascii="Times New Roman" w:hAnsi="Times New Roman"/>
            <w:sz w:val="20"/>
            <w:szCs w:val="20"/>
          </w:rPr>
          <w:t>http://www.cbr.ru/about_br/dir/rsd_2022-09-27_14_02/</w:t>
        </w:r>
      </w:hyperlink>
      <w:r w:rsidRPr="00742D48">
        <w:rPr>
          <w:rFonts w:ascii="Times New Roman" w:hAnsi="Times New Roman"/>
          <w:sz w:val="20"/>
          <w:szCs w:val="20"/>
        </w:rPr>
        <w:t xml:space="preserve">). </w:t>
      </w:r>
    </w:p>
  </w:footnote>
  <w:footnote w:id="21">
    <w:p w14:paraId="1C7885D8" w14:textId="77777777" w:rsidR="001A2892" w:rsidRDefault="001A2892" w:rsidP="0096737A">
      <w:pPr>
        <w:autoSpaceDE w:val="0"/>
        <w:autoSpaceDN w:val="0"/>
        <w:adjustRightInd w:val="0"/>
        <w:ind w:firstLine="0"/>
      </w:pPr>
      <w:r w:rsidRPr="00742D48">
        <w:rPr>
          <w:rStyle w:val="a8"/>
          <w:rFonts w:ascii="Times New Roman" w:hAnsi="Times New Roman"/>
          <w:sz w:val="20"/>
          <w:szCs w:val="20"/>
        </w:rPr>
        <w:footnoteRef/>
      </w:r>
      <w:r w:rsidRPr="00742D48">
        <w:rPr>
          <w:rFonts w:ascii="Times New Roman" w:hAnsi="Times New Roman"/>
          <w:sz w:val="20"/>
          <w:szCs w:val="20"/>
        </w:rPr>
        <w:t xml:space="preserve"> Положение Банка России от 28.12.2017 № 626-П «Об оценке финансового положения, о требованиях к финансовому положению и об основаниях для признания финансового положения неудовлетворительным учредителей (участников) кредитной организации и иных лиц, предусмотренных Федеральным законом от 29 июля 2017 года № 281-ФЗ «О внесении изменений в отдельные законодательные акты Российской Федерации в части совершенствования обязательных требований к учредителям (участникам), органам управления и должностным лицам финансовых организаций».</w:t>
      </w:r>
    </w:p>
  </w:footnote>
  <w:footnote w:id="22">
    <w:p w14:paraId="56B36D35" w14:textId="77777777" w:rsidR="001A2892" w:rsidRDefault="001A2892" w:rsidP="0096737A">
      <w:pPr>
        <w:autoSpaceDE w:val="0"/>
        <w:autoSpaceDN w:val="0"/>
        <w:adjustRightInd w:val="0"/>
        <w:ind w:firstLine="0"/>
      </w:pPr>
      <w:r w:rsidRPr="00742D48">
        <w:rPr>
          <w:rStyle w:val="a8"/>
          <w:rFonts w:ascii="Times New Roman" w:hAnsi="Times New Roman"/>
          <w:sz w:val="20"/>
          <w:szCs w:val="20"/>
        </w:rPr>
        <w:footnoteRef/>
      </w:r>
      <w:r w:rsidRPr="00742D48">
        <w:rPr>
          <w:rFonts w:ascii="Times New Roman" w:hAnsi="Times New Roman"/>
          <w:sz w:val="20"/>
          <w:szCs w:val="20"/>
        </w:rPr>
        <w:t xml:space="preserve"> Инструкция Банка России от 02.04.2010 № 135-И «О порядке принятия Банком России решения о государственной регистрации кредитных организаций и выдаче лицензий на осуществление банковских операций». </w:t>
      </w:r>
    </w:p>
  </w:footnote>
  <w:footnote w:id="23">
    <w:p w14:paraId="3C717DDE" w14:textId="77777777" w:rsidR="001A2892" w:rsidRDefault="001A2892" w:rsidP="0096737A">
      <w:pPr>
        <w:pStyle w:val="a6"/>
        <w:ind w:firstLine="0"/>
      </w:pPr>
      <w:r w:rsidRPr="00742D48">
        <w:rPr>
          <w:rStyle w:val="a8"/>
        </w:rPr>
        <w:footnoteRef/>
      </w:r>
      <w:r w:rsidRPr="00742D48">
        <w:t xml:space="preserve"> Положение Банка России от 29.06.2022 № 798-П «О порядке лицензирования Банком России видов профессиональной деятельности на рынке ценных бумаг, указанных в статьях 3 - 5, 7 и 8 Федерального закона от 22 апреля 1996 года № 39-ФЗ «О рынке ценных бумаг», и порядке ведения Банком России реестра профессиональных участников рынка ценных бумаг, о порядке принятия Банком России решения о внесении (об отказе во внесении) сведений о лице в единый реестр инвестиционных советников и порядке ведения Банком России указанного реестра, а также о порядке предоставления Банком России лицензии на осуществление деятельности инвестиционного фонда, лицензии управляющей компании на осуществление деятельности по управлению инвестиционными фондами, паевыми инвестиционными фондами и негосударственными пенсионными фондами, лицензии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 и порядке ведения Банком России реестров указанных лицензий» (вступит в силу с 01.04.2023) (зарегистрировано Минюстом России 08.11.2022 № 70858).</w:t>
      </w:r>
    </w:p>
  </w:footnote>
  <w:footnote w:id="24">
    <w:p w14:paraId="68F691E6" w14:textId="77777777" w:rsidR="001A2892" w:rsidRDefault="001A2892" w:rsidP="0096737A">
      <w:pPr>
        <w:pStyle w:val="a6"/>
        <w:ind w:firstLine="0"/>
      </w:pPr>
      <w:r w:rsidRPr="00742D48">
        <w:rPr>
          <w:rStyle w:val="a8"/>
        </w:rPr>
        <w:footnoteRef/>
      </w:r>
      <w:r w:rsidRPr="00742D48">
        <w:t xml:space="preserve"> Указание Банка России от 12.04.2021 № 5774-У «О внесении изменений в Указание Банка России от 25 декабря 2017 года № 4662-У».</w:t>
      </w:r>
    </w:p>
  </w:footnote>
  <w:footnote w:id="25">
    <w:p w14:paraId="5648261B" w14:textId="77777777" w:rsidR="001A2892" w:rsidRDefault="001A2892" w:rsidP="0096737A">
      <w:pPr>
        <w:pStyle w:val="a6"/>
        <w:ind w:firstLine="0"/>
      </w:pPr>
      <w:r w:rsidRPr="00742D48">
        <w:rPr>
          <w:rStyle w:val="a8"/>
        </w:rPr>
        <w:footnoteRef/>
      </w:r>
      <w:r w:rsidRPr="00742D48">
        <w:t xml:space="preserve"> Указание Банка России от 12.04.2021 № 5775-У «О порядке открытия кредитными организациями (их филиалами) дополнительных офисов, порядке внесения сведений о них в Книгу государственной регистрации кредитных организаций, а также о перечне банковских операций, которые вправе осуществлять дополнительный офис».</w:t>
      </w:r>
    </w:p>
  </w:footnote>
  <w:footnote w:id="26">
    <w:p w14:paraId="28EAB5D3" w14:textId="77777777" w:rsidR="001A2892" w:rsidRDefault="001A2892" w:rsidP="0096737A">
      <w:pPr>
        <w:pStyle w:val="a6"/>
        <w:ind w:firstLine="0"/>
      </w:pPr>
      <w:r w:rsidRPr="00742D48">
        <w:rPr>
          <w:rStyle w:val="a8"/>
        </w:rPr>
        <w:footnoteRef/>
      </w:r>
      <w:r w:rsidRPr="00742D48">
        <w:t xml:space="preserve"> Указание Банка России от 21.09.2022 № 6241-У «О внесении изменений в Указание Банка России от 30 сентября 2019 года № 5275-У «О порядке составления и представления в Банк России бизнес-плана кредитной организации и критериях его оценки» (зарегистрировано Минюстом России 26.10.2022 № 70709).</w:t>
      </w:r>
    </w:p>
  </w:footnote>
  <w:footnote w:id="27">
    <w:p w14:paraId="4F4E153A" w14:textId="77777777" w:rsidR="001A2892" w:rsidRDefault="001A2892" w:rsidP="0096737A">
      <w:pPr>
        <w:pStyle w:val="a6"/>
        <w:ind w:firstLine="0"/>
      </w:pPr>
      <w:r w:rsidRPr="00742D48">
        <w:rPr>
          <w:rStyle w:val="a8"/>
        </w:rPr>
        <w:footnoteRef/>
      </w:r>
      <w:r w:rsidRPr="00742D48">
        <w:t xml:space="preserve"> Указание Банка России от 22.09.2022 № 6251-У «О внесении изменений в Инструкцию Банка России от 25 декабря 2017 года № 185-И» (зарегистрировано Минюстом России 10.11.2022 № 70921).</w:t>
      </w:r>
    </w:p>
  </w:footnote>
  <w:footnote w:id="28">
    <w:p w14:paraId="0191270B" w14:textId="77777777" w:rsidR="001A2892" w:rsidRDefault="001A2892" w:rsidP="0096737A">
      <w:pPr>
        <w:pStyle w:val="a6"/>
        <w:ind w:firstLine="0"/>
      </w:pPr>
      <w:r w:rsidRPr="00742D48">
        <w:rPr>
          <w:rStyle w:val="a8"/>
        </w:rPr>
        <w:footnoteRef/>
      </w:r>
      <w:r w:rsidRPr="00742D48">
        <w:t xml:space="preserve"> Инструкция Банка России от 25 декабря 2017 года № 185-И «О получении согласия (одобрения) Банка России на приобретение акций (долей) финансовой организации и (или) на установление контроля в отношении акционеров (участников) финансовой организации и направлении в Банк России уведомлений о случаях, в результате которых лицо, имевшее право прямо или косвенно распоряжаться более 10 процентами акций (долей) </w:t>
      </w:r>
      <w:proofErr w:type="spellStart"/>
      <w:r w:rsidRPr="00742D48">
        <w:t>некредитной</w:t>
      </w:r>
      <w:proofErr w:type="spellEnd"/>
      <w:r w:rsidRPr="00742D48">
        <w:t xml:space="preserve"> финансовой организации, полностью утратило такое право либо сохранило право прямо или косвенно распоряжаться менее 10 процентами акций (долей) </w:t>
      </w:r>
      <w:proofErr w:type="spellStart"/>
      <w:r w:rsidRPr="00742D48">
        <w:t>некредитной</w:t>
      </w:r>
      <w:proofErr w:type="spellEnd"/>
      <w:r w:rsidRPr="00742D48">
        <w:t xml:space="preserve"> финансовой организации».</w:t>
      </w:r>
    </w:p>
  </w:footnote>
  <w:footnote w:id="29">
    <w:p w14:paraId="389383B9" w14:textId="77777777" w:rsidR="001A2892" w:rsidRDefault="001A2892" w:rsidP="0096737A">
      <w:pPr>
        <w:pStyle w:val="a6"/>
        <w:ind w:firstLine="0"/>
      </w:pPr>
      <w:r w:rsidRPr="00742D48">
        <w:rPr>
          <w:rStyle w:val="a8"/>
        </w:rPr>
        <w:footnoteRef/>
      </w:r>
      <w:r w:rsidRPr="00742D48">
        <w:t xml:space="preserve"> Указание Банка России от 06.12.2021 № 6004-У </w:t>
      </w:r>
      <w:r w:rsidRPr="00742D48">
        <w:rPr>
          <w:color w:val="000000"/>
        </w:rPr>
        <w:t xml:space="preserve">«О порядке оплаты и предельном размере расходов на оплату услуг лиц, привлеченных временными администрациями отдельных финансовых организаций и конкурсным управляющим кредитной организации» (зарегистрировано Минюстом России 28.03.2022 </w:t>
      </w:r>
      <w:r w:rsidRPr="00742D48">
        <w:rPr>
          <w:color w:val="000000"/>
        </w:rPr>
        <w:br/>
        <w:t>№ 67956)</w:t>
      </w:r>
    </w:p>
  </w:footnote>
  <w:footnote w:id="30">
    <w:p w14:paraId="0E3128ED" w14:textId="77777777" w:rsidR="001A2892" w:rsidRDefault="001A2892" w:rsidP="0096737A">
      <w:pPr>
        <w:pStyle w:val="Default"/>
        <w:ind w:firstLine="0"/>
      </w:pPr>
      <w:r w:rsidRPr="00742D48">
        <w:rPr>
          <w:rStyle w:val="a8"/>
          <w:rFonts w:ascii="Times New Roman" w:hAnsi="Times New Roman"/>
          <w:sz w:val="20"/>
          <w:szCs w:val="20"/>
        </w:rPr>
        <w:footnoteRef/>
      </w:r>
      <w:r w:rsidRPr="00742D48">
        <w:rPr>
          <w:rFonts w:ascii="Times New Roman" w:hAnsi="Times New Roman" w:cs="Times New Roman"/>
          <w:sz w:val="20"/>
          <w:szCs w:val="20"/>
        </w:rPr>
        <w:t xml:space="preserve"> Положение Банка России от 13.12.2021 № 785-П</w:t>
      </w:r>
      <w:r w:rsidRPr="00742D48">
        <w:rPr>
          <w:rFonts w:ascii="Times New Roman" w:hAnsi="Times New Roman" w:cs="Times New Roman"/>
          <w:bCs/>
          <w:color w:val="auto"/>
          <w:sz w:val="20"/>
          <w:szCs w:val="20"/>
        </w:rPr>
        <w:t>«О случаях и порядке проведения Банком России проверок деятельности временной администрации по управлению кредитной организацией, временной администрации страховой организации, временной администрации иностранной страховой организации, временной администрации негосударственного пенсионного фонда, действующих после отзыва (аннулирования) лицензии, и направления Банком России предписаний об устранении нарушений нормативных правовых актов, регулирующих отношения, связанные с несостоятельностью (банкротством) финансовых организаций, которые выявлены Банком России в ходе проверок деятельности временной администрации по управлению кредитной организацией, временной администрации страховой организации, временной администрации негосударственного пенсионного фонда, осуществлявшего деятельность по обязательному пенсионному страхованию, действующих после отзыва (аннулирования) лицензии» (зарегистрировано Минюстом России 06.04.2022 № 68097).</w:t>
      </w:r>
    </w:p>
  </w:footnote>
  <w:footnote w:id="31">
    <w:p w14:paraId="0EFBCD70" w14:textId="77777777" w:rsidR="001A2892" w:rsidRDefault="001A2892" w:rsidP="0096737A">
      <w:pPr>
        <w:pStyle w:val="Default"/>
        <w:ind w:firstLine="0"/>
      </w:pPr>
      <w:r w:rsidRPr="00742D48">
        <w:rPr>
          <w:rStyle w:val="a8"/>
          <w:rFonts w:ascii="Times New Roman" w:hAnsi="Times New Roman"/>
          <w:sz w:val="20"/>
          <w:szCs w:val="20"/>
        </w:rPr>
        <w:footnoteRef/>
      </w:r>
      <w:r w:rsidRPr="00742D48">
        <w:rPr>
          <w:rFonts w:ascii="Times New Roman" w:hAnsi="Times New Roman" w:cs="Times New Roman"/>
          <w:sz w:val="20"/>
          <w:szCs w:val="20"/>
        </w:rPr>
        <w:t xml:space="preserve"> Указание Банка России от 03.12.2021 № 6003-У </w:t>
      </w:r>
      <w:r w:rsidRPr="00742D48">
        <w:rPr>
          <w:rFonts w:ascii="Times New Roman" w:hAnsi="Times New Roman" w:cs="Times New Roman"/>
          <w:bCs/>
          <w:color w:val="auto"/>
          <w:sz w:val="20"/>
          <w:szCs w:val="20"/>
        </w:rPr>
        <w:t>"«О внесении изменений в Положение Банка России от 25 февраля 2019 года № 676-П «О порядке назначения, осуществления и прекращения деятельности временной администрации по управлению кредитной организацией, назначаемой в связи с отзывом у кредитной организации лицензии на осуществление банковских операций» (зарегистрировано Минюстом России 01.06.2022 № 68703).</w:t>
      </w:r>
    </w:p>
  </w:footnote>
  <w:footnote w:id="32">
    <w:p w14:paraId="6D050425" w14:textId="77777777" w:rsidR="001A2892" w:rsidRDefault="001A2892" w:rsidP="0096737A">
      <w:pPr>
        <w:pStyle w:val="a6"/>
        <w:ind w:firstLine="0"/>
      </w:pPr>
      <w:r w:rsidRPr="00742D48">
        <w:rPr>
          <w:rStyle w:val="a8"/>
        </w:rPr>
        <w:footnoteRef/>
      </w:r>
      <w:r w:rsidRPr="00742D48">
        <w:t xml:space="preserve"> Постановление Правительства Российской Федерации от 21.12.2021 № 2371 «О проведении эксперимента по цифровой трансформации предоставления услуг, мер поддержки и сервисов в целях развития малого и среднего предпринимательства».</w:t>
      </w:r>
    </w:p>
  </w:footnote>
  <w:footnote w:id="33">
    <w:p w14:paraId="747D0410" w14:textId="77777777" w:rsidR="001A2892" w:rsidRDefault="001A2892" w:rsidP="0096737A">
      <w:pPr>
        <w:pStyle w:val="a6"/>
        <w:ind w:firstLine="0"/>
      </w:pPr>
      <w:r w:rsidRPr="00742D48">
        <w:rPr>
          <w:rStyle w:val="a8"/>
        </w:rPr>
        <w:footnoteRef/>
      </w:r>
      <w:r w:rsidRPr="00742D48">
        <w:t xml:space="preserve"> Указ Президента Российской Федерации от 30.09.2022 № 693 «Об определении организации, обеспечивающей развитие цифровых технологий идентификации и аутентификации».</w:t>
      </w:r>
    </w:p>
  </w:footnote>
  <w:footnote w:id="34">
    <w:p w14:paraId="7B11C721" w14:textId="77777777" w:rsidR="001A2892" w:rsidRDefault="001A2892" w:rsidP="0096737A">
      <w:pPr>
        <w:pStyle w:val="a6"/>
        <w:ind w:firstLine="0"/>
      </w:pPr>
      <w:r w:rsidRPr="00742D48">
        <w:rPr>
          <w:rStyle w:val="a8"/>
        </w:rPr>
        <w:footnoteRef/>
      </w:r>
      <w:r w:rsidRPr="00742D48">
        <w:t xml:space="preserve"> Федеральный закон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footnote>
  <w:footnote w:id="35">
    <w:p w14:paraId="74113DCA" w14:textId="77777777" w:rsidR="001A2892" w:rsidRDefault="001A2892" w:rsidP="0096737A">
      <w:pPr>
        <w:pStyle w:val="a6"/>
        <w:ind w:firstLine="0"/>
      </w:pPr>
      <w:r w:rsidRPr="00742D48">
        <w:rPr>
          <w:rStyle w:val="a8"/>
        </w:rPr>
        <w:footnoteRef/>
      </w:r>
      <w:r w:rsidRPr="00742D48">
        <w:t xml:space="preserve"> Федеральный закон от 14.07.2022 № 331‑ФЗ «О внесении изменений в отдельные законодательные акты Российской Федерации и о приостановлении действия положений статьи 5.1 Федерального закона «О банках и банковской деятельности».</w:t>
      </w:r>
    </w:p>
  </w:footnote>
  <w:footnote w:id="36">
    <w:p w14:paraId="547C5183" w14:textId="77777777" w:rsidR="001A2892" w:rsidRDefault="001A2892" w:rsidP="0096737A">
      <w:pPr>
        <w:pStyle w:val="a6"/>
        <w:ind w:firstLine="0"/>
      </w:pPr>
      <w:r w:rsidRPr="00742D48">
        <w:rPr>
          <w:rStyle w:val="a8"/>
        </w:rPr>
        <w:footnoteRef/>
      </w:r>
      <w:r w:rsidRPr="00742D48">
        <w:t xml:space="preserve"> Указание Банка России от 15.06.2022 № 6159‑У «О внесении изменений в Указание Банка России от 25 ноября 2020 года № 5635-У».</w:t>
      </w:r>
    </w:p>
  </w:footnote>
  <w:footnote w:id="37">
    <w:p w14:paraId="404FF46B" w14:textId="77777777" w:rsidR="001A2892" w:rsidRDefault="001A2892" w:rsidP="0096737A">
      <w:pPr>
        <w:pStyle w:val="a6"/>
        <w:ind w:firstLine="0"/>
      </w:pPr>
      <w:r w:rsidRPr="00742D48">
        <w:rPr>
          <w:rStyle w:val="a8"/>
        </w:rPr>
        <w:footnoteRef/>
      </w:r>
      <w:r w:rsidRPr="00742D48">
        <w:t xml:space="preserve"> Федеральный закон от 14.07.2022№ 324‑ФЗ «О внесении изменений в часть вторую Налогового кодекса Российской Федерации».</w:t>
      </w:r>
    </w:p>
  </w:footnote>
  <w:footnote w:id="38">
    <w:p w14:paraId="566080F1" w14:textId="77777777" w:rsidR="001A2892" w:rsidRDefault="001A2892" w:rsidP="0096737A">
      <w:pPr>
        <w:pStyle w:val="a6"/>
        <w:ind w:firstLine="0"/>
      </w:pPr>
      <w:r w:rsidRPr="00742D48">
        <w:rPr>
          <w:rStyle w:val="a8"/>
        </w:rPr>
        <w:footnoteRef/>
      </w:r>
      <w:r w:rsidRPr="00742D48">
        <w:t xml:space="preserve"> В</w:t>
      </w:r>
      <w:r w:rsidRPr="00742D48">
        <w:rPr>
          <w:bCs/>
        </w:rPr>
        <w:t xml:space="preserve"> </w:t>
      </w:r>
      <w:r w:rsidRPr="00742D48">
        <w:rPr>
          <w:bCs/>
          <w:lang w:val="en-US"/>
        </w:rPr>
        <w:t>IV</w:t>
      </w:r>
      <w:r w:rsidRPr="00742D48">
        <w:rPr>
          <w:bCs/>
        </w:rPr>
        <w:t xml:space="preserve"> квартале 2022 года была опубликована</w:t>
      </w:r>
      <w:r w:rsidRPr="00742D48">
        <w:rPr>
          <w:b/>
          <w:bCs/>
        </w:rPr>
        <w:t xml:space="preserve"> «</w:t>
      </w:r>
      <w:r w:rsidRPr="00742D48">
        <w:t>Концепция внедрения Открытых API на финансовом рынке».</w:t>
      </w:r>
    </w:p>
  </w:footnote>
  <w:footnote w:id="39">
    <w:p w14:paraId="4C626D54" w14:textId="06434975" w:rsidR="001A2892" w:rsidRDefault="001A2892">
      <w:pPr>
        <w:pStyle w:val="a6"/>
      </w:pPr>
      <w:r>
        <w:rPr>
          <w:rStyle w:val="a8"/>
        </w:rPr>
        <w:footnoteRef/>
      </w:r>
      <w:r>
        <w:t xml:space="preserve"> Решение Совета директоров Банка России от 17.03.2023.</w:t>
      </w:r>
    </w:p>
  </w:footnote>
  <w:footnote w:id="40">
    <w:p w14:paraId="74C7168F" w14:textId="06AAF466" w:rsidR="00C97A67" w:rsidRPr="005E435A" w:rsidRDefault="00C97A67">
      <w:pPr>
        <w:pStyle w:val="a6"/>
        <w:rPr>
          <w:lang w:val="en-US"/>
        </w:rPr>
      </w:pPr>
      <w:r>
        <w:rPr>
          <w:rStyle w:val="a8"/>
        </w:rPr>
        <w:footnoteRef/>
      </w:r>
      <w:r w:rsidRPr="005E435A">
        <w:rPr>
          <w:lang w:val="en-US"/>
        </w:rPr>
        <w:t xml:space="preserve"> </w:t>
      </w:r>
      <w:r>
        <w:rPr>
          <w:lang w:val="en-US"/>
        </w:rPr>
        <w:t>C2C - customer-to-customer.</w:t>
      </w:r>
    </w:p>
  </w:footnote>
  <w:footnote w:id="41">
    <w:p w14:paraId="60BCC71B" w14:textId="4EBB3364" w:rsidR="00C97A67" w:rsidRPr="005E435A" w:rsidRDefault="00C97A67">
      <w:pPr>
        <w:pStyle w:val="a6"/>
        <w:rPr>
          <w:lang w:val="en-US"/>
        </w:rPr>
      </w:pPr>
      <w:r>
        <w:rPr>
          <w:rStyle w:val="a8"/>
        </w:rPr>
        <w:footnoteRef/>
      </w:r>
      <w:r w:rsidRPr="005E435A">
        <w:rPr>
          <w:lang w:val="en-US"/>
        </w:rPr>
        <w:t xml:space="preserve"> </w:t>
      </w:r>
      <w:r>
        <w:rPr>
          <w:lang w:val="en-US"/>
        </w:rPr>
        <w:t>C2C-pull – customer-to-customer pull.</w:t>
      </w:r>
    </w:p>
  </w:footnote>
  <w:footnote w:id="42">
    <w:p w14:paraId="6E548B7C" w14:textId="0B614CEB" w:rsidR="00C97A67" w:rsidRPr="005E435A" w:rsidRDefault="00C97A67">
      <w:pPr>
        <w:pStyle w:val="a6"/>
        <w:rPr>
          <w:lang w:val="en-US"/>
        </w:rPr>
      </w:pPr>
      <w:r>
        <w:rPr>
          <w:rStyle w:val="a8"/>
        </w:rPr>
        <w:footnoteRef/>
      </w:r>
      <w:r w:rsidRPr="005E435A">
        <w:rPr>
          <w:lang w:val="en-US"/>
        </w:rPr>
        <w:t xml:space="preserve"> </w:t>
      </w:r>
      <w:r>
        <w:rPr>
          <w:lang w:val="en-US"/>
        </w:rPr>
        <w:t>C2B – customer-to-business.</w:t>
      </w:r>
    </w:p>
  </w:footnote>
  <w:footnote w:id="43">
    <w:p w14:paraId="4D9A2AE4" w14:textId="64B357E9" w:rsidR="00C97A67" w:rsidRPr="005E435A" w:rsidRDefault="00C97A67">
      <w:pPr>
        <w:pStyle w:val="a6"/>
        <w:rPr>
          <w:lang w:val="en-US"/>
        </w:rPr>
      </w:pPr>
      <w:r>
        <w:rPr>
          <w:rStyle w:val="a8"/>
        </w:rPr>
        <w:footnoteRef/>
      </w:r>
      <w:r w:rsidRPr="005E435A">
        <w:rPr>
          <w:lang w:val="en-US"/>
        </w:rPr>
        <w:t xml:space="preserve"> </w:t>
      </w:r>
      <w:r>
        <w:rPr>
          <w:lang w:val="en-US"/>
        </w:rPr>
        <w:t>B2C – business-to-customer.</w:t>
      </w:r>
    </w:p>
  </w:footnote>
  <w:footnote w:id="44">
    <w:p w14:paraId="2E5498E3" w14:textId="0F062465" w:rsidR="00C97A67" w:rsidRPr="005E435A" w:rsidRDefault="00C97A67">
      <w:pPr>
        <w:pStyle w:val="a6"/>
        <w:rPr>
          <w:lang w:val="en-US"/>
        </w:rPr>
      </w:pPr>
      <w:r>
        <w:rPr>
          <w:rStyle w:val="a8"/>
        </w:rPr>
        <w:footnoteRef/>
      </w:r>
      <w:r w:rsidRPr="005E435A">
        <w:rPr>
          <w:lang w:val="en-US"/>
        </w:rPr>
        <w:t xml:space="preserve"> </w:t>
      </w:r>
      <w:r>
        <w:rPr>
          <w:lang w:val="en-US"/>
        </w:rPr>
        <w:t>B2B – business-to- business.</w:t>
      </w:r>
    </w:p>
  </w:footnote>
  <w:footnote w:id="45">
    <w:p w14:paraId="0B1BD7ED" w14:textId="681F4DFA" w:rsidR="005E435A" w:rsidRPr="005E435A" w:rsidRDefault="005E435A">
      <w:pPr>
        <w:pStyle w:val="a6"/>
        <w:rPr>
          <w:lang w:val="en-US"/>
        </w:rPr>
      </w:pPr>
      <w:r>
        <w:rPr>
          <w:rStyle w:val="a8"/>
        </w:rPr>
        <w:footnoteRef/>
      </w:r>
      <w:r w:rsidRPr="005E435A">
        <w:rPr>
          <w:lang w:val="en-US"/>
        </w:rPr>
        <w:t xml:space="preserve"> </w:t>
      </w:r>
      <w:r>
        <w:rPr>
          <w:lang w:val="en-US"/>
        </w:rPr>
        <w:t>C2G – customer-to-government.</w:t>
      </w:r>
    </w:p>
  </w:footnote>
  <w:footnote w:id="46">
    <w:p w14:paraId="62B56EC2" w14:textId="5D302451" w:rsidR="005E435A" w:rsidRDefault="005E435A">
      <w:pPr>
        <w:pStyle w:val="a6"/>
      </w:pPr>
      <w:r>
        <w:rPr>
          <w:rStyle w:val="a8"/>
        </w:rPr>
        <w:footnoteRef/>
      </w:r>
      <w:r>
        <w:t xml:space="preserve"> Указание Банка России от 12.01.2023 № 6358-У «О внесении изменений в Положение Банка России </w:t>
      </w:r>
      <w:r>
        <w:br/>
        <w:t>от 24 сентября 2020 года № 732-П «О платежной системе Банка России».</w:t>
      </w:r>
    </w:p>
  </w:footnote>
  <w:footnote w:id="47">
    <w:p w14:paraId="7DEF8F84" w14:textId="63A56CBC" w:rsidR="005E435A" w:rsidRDefault="005E435A">
      <w:pPr>
        <w:pStyle w:val="a6"/>
      </w:pPr>
      <w:r>
        <w:rPr>
          <w:rStyle w:val="a8"/>
        </w:rPr>
        <w:footnoteRef/>
      </w:r>
      <w:r>
        <w:t xml:space="preserve"> Решение Совета директоров Банка России от 16.11.2022.</w:t>
      </w:r>
    </w:p>
  </w:footnote>
  <w:footnote w:id="48">
    <w:p w14:paraId="2158CD0C" w14:textId="56268D0A" w:rsidR="005E435A" w:rsidRDefault="005E435A">
      <w:pPr>
        <w:pStyle w:val="a6"/>
      </w:pPr>
      <w:r>
        <w:rPr>
          <w:rStyle w:val="a8"/>
        </w:rPr>
        <w:footnoteRef/>
      </w:r>
      <w:r>
        <w:t xml:space="preserve"> Решение Совета директоров Банка России от 17.03.2023.</w:t>
      </w:r>
    </w:p>
  </w:footnote>
  <w:footnote w:id="49">
    <w:p w14:paraId="1494BA1F" w14:textId="77777777" w:rsidR="001A2892" w:rsidRDefault="001A2892" w:rsidP="0096737A">
      <w:pPr>
        <w:pStyle w:val="a6"/>
        <w:ind w:firstLine="0"/>
      </w:pPr>
      <w:r>
        <w:rPr>
          <w:rStyle w:val="a8"/>
        </w:rPr>
        <w:footnoteRef/>
      </w:r>
      <w:r>
        <w:t xml:space="preserve"> Федеральный закон от 29.12.2022 № 601-ФЗ «О внесении изменений в Федеральный закон «О потребительском кредите (займе)».</w:t>
      </w:r>
    </w:p>
  </w:footnote>
  <w:footnote w:id="50">
    <w:p w14:paraId="28982DD1" w14:textId="708E2F25" w:rsidR="001A2892" w:rsidRPr="00C83D7E" w:rsidRDefault="001A2892">
      <w:pPr>
        <w:pStyle w:val="a6"/>
      </w:pPr>
      <w:r>
        <w:rPr>
          <w:rStyle w:val="a8"/>
        </w:rPr>
        <w:footnoteRef/>
      </w:r>
      <w:r w:rsidRPr="00391E5D">
        <w:t xml:space="preserve"> </w:t>
      </w:r>
      <w:hyperlink r:id="rId5" w:history="1">
        <w:r w:rsidRPr="003C2A86">
          <w:rPr>
            <w:rStyle w:val="af1"/>
          </w:rPr>
          <w:t>https://www.cba.am/RU/panalyticalmaterialsresearches/Strategy%202021_rus.pdf</w:t>
        </w:r>
      </w:hyperlink>
      <w:r w:rsidRPr="00C83D7E">
        <w:t xml:space="preserve"> </w:t>
      </w:r>
    </w:p>
  </w:footnote>
  <w:footnote w:id="51">
    <w:p w14:paraId="03F52051" w14:textId="77777777" w:rsidR="001A2892" w:rsidRDefault="001A2892" w:rsidP="0096737A">
      <w:pPr>
        <w:pStyle w:val="a6"/>
        <w:ind w:firstLine="0"/>
      </w:pPr>
      <w:r>
        <w:rPr>
          <w:rStyle w:val="a8"/>
        </w:rPr>
        <w:footnoteRef/>
      </w:r>
      <w:r>
        <w:t xml:space="preserve"> http://www.cbr.ru/Content/Document/File/143838/dbra_20221227.pdf</w:t>
      </w:r>
    </w:p>
  </w:footnote>
  <w:footnote w:id="52">
    <w:p w14:paraId="6DE56CEF" w14:textId="77777777" w:rsidR="001A2892" w:rsidRDefault="001A2892" w:rsidP="0096737A">
      <w:pPr>
        <w:pStyle w:val="aa"/>
        <w:ind w:firstLine="0"/>
        <w:rPr>
          <w:rFonts w:ascii="Times New Roman" w:hAnsi="Times New Roman" w:cs="Times New Roman"/>
        </w:rPr>
      </w:pPr>
      <w:r>
        <w:rPr>
          <w:rStyle w:val="a8"/>
        </w:rPr>
        <w:footnoteRef/>
      </w:r>
      <w:r>
        <w:rPr>
          <w:rFonts w:ascii="Times New Roman" w:hAnsi="Times New Roman" w:cs="Times New Roman"/>
        </w:rPr>
        <w:t xml:space="preserve"> Создан в марте 2023 года.</w:t>
      </w:r>
    </w:p>
  </w:footnote>
  <w:footnote w:id="53">
    <w:p w14:paraId="1590FECB" w14:textId="77777777" w:rsidR="001A2892" w:rsidRDefault="001A2892" w:rsidP="0096737A">
      <w:pPr>
        <w:spacing w:line="192" w:lineRule="auto"/>
        <w:ind w:firstLine="0"/>
        <w:rPr>
          <w:rFonts w:ascii="Times New Roman" w:hAnsi="Times New Roman" w:cs="Times New Roman"/>
          <w:sz w:val="20"/>
          <w:szCs w:val="20"/>
        </w:rPr>
      </w:pPr>
      <w:r>
        <w:rPr>
          <w:rStyle w:val="a8"/>
          <w:sz w:val="20"/>
          <w:szCs w:val="20"/>
        </w:rPr>
        <w:footnoteRef/>
      </w:r>
      <w:r>
        <w:rPr>
          <w:rFonts w:ascii="Times New Roman" w:hAnsi="Times New Roman" w:cs="Times New Roman"/>
          <w:sz w:val="20"/>
          <w:szCs w:val="20"/>
        </w:rPr>
        <w:t> Стратегия развития НСПК на 2023 – 2024 годы одобрена Национальным финансовым советом 27.03.2023 и рекомендована к направлению на утверждение в Наблюдательный совет АО «НСПК».</w:t>
      </w:r>
    </w:p>
  </w:footnote>
  <w:footnote w:id="54">
    <w:p w14:paraId="768B6FDC" w14:textId="77777777" w:rsidR="001A2892" w:rsidRDefault="001A2892" w:rsidP="0096737A">
      <w:pPr>
        <w:spacing w:line="192" w:lineRule="auto"/>
        <w:ind w:firstLine="0"/>
        <w:rPr>
          <w:rFonts w:ascii="Times New Roman" w:hAnsi="Times New Roman" w:cs="Times New Roman"/>
          <w:sz w:val="20"/>
          <w:szCs w:val="20"/>
        </w:rPr>
      </w:pPr>
      <w:r>
        <w:rPr>
          <w:rStyle w:val="a8"/>
          <w:sz w:val="20"/>
          <w:szCs w:val="20"/>
        </w:rPr>
        <w:footnoteRef/>
      </w:r>
      <w:r>
        <w:rPr>
          <w:rFonts w:ascii="Times New Roman" w:hAnsi="Times New Roman" w:cs="Times New Roman"/>
          <w:sz w:val="20"/>
          <w:szCs w:val="20"/>
        </w:rPr>
        <w:t xml:space="preserve"> Совет директоров Банка России 17.03.2023 принял решение, что с 01.10.2023 для передачи финансовой информации при переводах средств на территории России банки будут обязаны использовать только российские сервисы и отечественную финансовую инфраструктуру.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392549"/>
      <w:docPartObj>
        <w:docPartGallery w:val="Page Numbers (Top of Page)"/>
        <w:docPartUnique/>
      </w:docPartObj>
    </w:sdtPr>
    <w:sdtEndPr/>
    <w:sdtContent>
      <w:p w14:paraId="3904326B" w14:textId="3618CD28" w:rsidR="001A2892" w:rsidRDefault="001A2892">
        <w:pPr>
          <w:pStyle w:val="af6"/>
          <w:jc w:val="center"/>
        </w:pPr>
        <w:r>
          <w:fldChar w:fldCharType="begin"/>
        </w:r>
        <w:r>
          <w:instrText>PAGE   \* MERGEFORMAT</w:instrText>
        </w:r>
        <w:r>
          <w:fldChar w:fldCharType="separate"/>
        </w:r>
        <w:r w:rsidR="003761A4">
          <w:rPr>
            <w:noProof/>
          </w:rPr>
          <w:t>34</w:t>
        </w:r>
        <w:r>
          <w:fldChar w:fldCharType="end"/>
        </w:r>
      </w:p>
    </w:sdtContent>
  </w:sdt>
  <w:p w14:paraId="710F13D3" w14:textId="77777777" w:rsidR="001A2892" w:rsidRDefault="001A2892">
    <w:pPr>
      <w:pStyle w:val="af6"/>
    </w:pPr>
  </w:p>
  <w:p w14:paraId="2FE4D2F9" w14:textId="77777777" w:rsidR="001A2892" w:rsidRDefault="001A28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26" style="width:7.5pt;height:4.4pt" coordsize="" o:spt="100" o:bullet="t" adj="0,,0" path="" stroked="f">
        <v:stroke joinstyle="miter"/>
        <v:imagedata r:id="rId1" o:title="image37"/>
        <v:formulas/>
        <v:path o:connecttype="segments"/>
      </v:shape>
    </w:pict>
  </w:numPicBullet>
  <w:numPicBullet w:numPicBulletId="1">
    <w:pict>
      <v:shape id="_x0000_i1027" style="width:9.4pt;height:3.75pt" coordsize="" o:spt="100" o:bullet="t" adj="0,,0" path="" stroked="f">
        <v:stroke joinstyle="miter"/>
        <v:imagedata r:id="rId2" o:title="image38"/>
        <v:formulas/>
        <v:path o:connecttype="segments"/>
      </v:shape>
    </w:pict>
  </w:numPicBullet>
  <w:abstractNum w:abstractNumId="0" w15:restartNumberingAfterBreak="0">
    <w:nsid w:val="0AD010DD"/>
    <w:multiLevelType w:val="hybridMultilevel"/>
    <w:tmpl w:val="B9E28676"/>
    <w:lvl w:ilvl="0" w:tplc="4A0E92CA">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D8903B7"/>
    <w:multiLevelType w:val="hybridMultilevel"/>
    <w:tmpl w:val="A0E618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8C780E"/>
    <w:multiLevelType w:val="hybridMultilevel"/>
    <w:tmpl w:val="F138734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14E1424D"/>
    <w:multiLevelType w:val="hybridMultilevel"/>
    <w:tmpl w:val="75A600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642196"/>
    <w:multiLevelType w:val="hybridMultilevel"/>
    <w:tmpl w:val="824888C4"/>
    <w:lvl w:ilvl="0" w:tplc="2E76A9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5846A7C"/>
    <w:multiLevelType w:val="hybridMultilevel"/>
    <w:tmpl w:val="C156B626"/>
    <w:lvl w:ilvl="0" w:tplc="041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F8F5068"/>
    <w:multiLevelType w:val="hybridMultilevel"/>
    <w:tmpl w:val="C8A05028"/>
    <w:lvl w:ilvl="0" w:tplc="0B147EB4">
      <w:start w:val="1"/>
      <w:numFmt w:val="bullet"/>
      <w:lvlText w:val="—"/>
      <w:lvlJc w:val="left"/>
      <w:pPr>
        <w:ind w:left="720" w:hanging="360"/>
      </w:pPr>
      <w:rPr>
        <w:rFonts w:ascii="Arial" w:hAnsi="Arial"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8485C96"/>
    <w:multiLevelType w:val="hybridMultilevel"/>
    <w:tmpl w:val="679AD6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A714942"/>
    <w:multiLevelType w:val="hybridMultilevel"/>
    <w:tmpl w:val="450EABB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41CF5882"/>
    <w:multiLevelType w:val="hybridMultilevel"/>
    <w:tmpl w:val="684EF482"/>
    <w:lvl w:ilvl="0" w:tplc="30A6A8D2">
      <w:start w:val="1"/>
      <w:numFmt w:val="bullet"/>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444559DF"/>
    <w:multiLevelType w:val="hybridMultilevel"/>
    <w:tmpl w:val="106428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54A5A51"/>
    <w:multiLevelType w:val="hybridMultilevel"/>
    <w:tmpl w:val="1CD44FAC"/>
    <w:lvl w:ilvl="0" w:tplc="E1AE8A34">
      <w:start w:val="1"/>
      <w:numFmt w:val="decimal"/>
      <w:lvlText w:val="%1."/>
      <w:lvlJc w:val="left"/>
      <w:pPr>
        <w:ind w:left="1429" w:hanging="360"/>
      </w:pPr>
      <w:rPr>
        <w:rFonts w:ascii="Times New Roman" w:hAnsi="Times New Roman" w:cs="Times New Roman"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AA97844"/>
    <w:multiLevelType w:val="hybridMultilevel"/>
    <w:tmpl w:val="3ECC9F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4E317E39"/>
    <w:multiLevelType w:val="hybridMultilevel"/>
    <w:tmpl w:val="5218D3C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4EFA12D6"/>
    <w:multiLevelType w:val="hybridMultilevel"/>
    <w:tmpl w:val="A0D0CD7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4F7C1F9F"/>
    <w:multiLevelType w:val="hybridMultilevel"/>
    <w:tmpl w:val="7C74E60C"/>
    <w:lvl w:ilvl="0" w:tplc="FD58AD6A">
      <w:start w:val="4"/>
      <w:numFmt w:val="decimal"/>
      <w:lvlText w:val="%1."/>
      <w:lvlJc w:val="left"/>
      <w:pPr>
        <w:ind w:left="7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109054">
      <w:start w:val="1"/>
      <w:numFmt w:val="bullet"/>
      <w:lvlText w:val="•"/>
      <w:lvlPicBulletId w:val="1"/>
      <w:lvlJc w:val="left"/>
      <w:pPr>
        <w:ind w:left="1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1602D0">
      <w:start w:val="1"/>
      <w:numFmt w:val="bullet"/>
      <w:lvlText w:val="▪"/>
      <w:lvlJc w:val="left"/>
      <w:pPr>
        <w:ind w:left="2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A2CDAE">
      <w:start w:val="1"/>
      <w:numFmt w:val="bullet"/>
      <w:lvlText w:val="•"/>
      <w:lvlJc w:val="left"/>
      <w:pPr>
        <w:ind w:left="32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AE47D2">
      <w:start w:val="1"/>
      <w:numFmt w:val="bullet"/>
      <w:lvlText w:val="o"/>
      <w:lvlJc w:val="left"/>
      <w:pPr>
        <w:ind w:left="39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203A14">
      <w:start w:val="1"/>
      <w:numFmt w:val="bullet"/>
      <w:lvlText w:val="▪"/>
      <w:lvlJc w:val="left"/>
      <w:pPr>
        <w:ind w:left="4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14D234">
      <w:start w:val="1"/>
      <w:numFmt w:val="bullet"/>
      <w:lvlText w:val="•"/>
      <w:lvlJc w:val="left"/>
      <w:pPr>
        <w:ind w:left="5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707304">
      <w:start w:val="1"/>
      <w:numFmt w:val="bullet"/>
      <w:lvlText w:val="o"/>
      <w:lvlJc w:val="left"/>
      <w:pPr>
        <w:ind w:left="6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021E98">
      <w:start w:val="1"/>
      <w:numFmt w:val="bullet"/>
      <w:lvlText w:val="▪"/>
      <w:lvlJc w:val="left"/>
      <w:pPr>
        <w:ind w:left="6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0D00DF7"/>
    <w:multiLevelType w:val="hybridMultilevel"/>
    <w:tmpl w:val="F7B814A0"/>
    <w:lvl w:ilvl="0" w:tplc="2E76A9AE">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15:restartNumberingAfterBreak="0">
    <w:nsid w:val="510E4F22"/>
    <w:multiLevelType w:val="hybridMultilevel"/>
    <w:tmpl w:val="135ABAD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55D34DF1"/>
    <w:multiLevelType w:val="hybridMultilevel"/>
    <w:tmpl w:val="CFD6E2BE"/>
    <w:lvl w:ilvl="0" w:tplc="8CD673EC">
      <w:start w:val="4"/>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5772738A"/>
    <w:multiLevelType w:val="hybridMultilevel"/>
    <w:tmpl w:val="F81AB606"/>
    <w:lvl w:ilvl="0" w:tplc="913C1EFC">
      <w:start w:val="1"/>
      <w:numFmt w:val="bullet"/>
      <w:lvlText w:val=""/>
      <w:lvlJc w:val="left"/>
      <w:pPr>
        <w:ind w:left="360" w:hanging="360"/>
      </w:pPr>
      <w:rPr>
        <w:rFonts w:ascii="Symbol" w:hAnsi="Symbol" w:hint="default"/>
        <w:color w:val="000000" w:themeColor="text1"/>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0" w15:restartNumberingAfterBreak="0">
    <w:nsid w:val="5D5F5545"/>
    <w:multiLevelType w:val="hybridMultilevel"/>
    <w:tmpl w:val="DE6454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E004CC"/>
    <w:multiLevelType w:val="hybridMultilevel"/>
    <w:tmpl w:val="3D484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987AC1"/>
    <w:multiLevelType w:val="hybridMultilevel"/>
    <w:tmpl w:val="103E78AC"/>
    <w:lvl w:ilvl="0" w:tplc="BD527EC4">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614F548C"/>
    <w:multiLevelType w:val="hybridMultilevel"/>
    <w:tmpl w:val="60EA73E6"/>
    <w:lvl w:ilvl="0" w:tplc="4A0E92CA">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61605D05"/>
    <w:multiLevelType w:val="hybridMultilevel"/>
    <w:tmpl w:val="A12A7A2C"/>
    <w:lvl w:ilvl="0" w:tplc="8CD673EC">
      <w:start w:val="4"/>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641542DA"/>
    <w:multiLevelType w:val="hybridMultilevel"/>
    <w:tmpl w:val="C85CF2D0"/>
    <w:lvl w:ilvl="0" w:tplc="B43E2554">
      <w:start w:val="1"/>
      <w:numFmt w:val="bullet"/>
      <w:lvlText w:val="•"/>
      <w:lvlPicBulletId w:val="0"/>
      <w:lvlJc w:val="left"/>
      <w:pPr>
        <w:ind w:left="11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C603DE8">
      <w:start w:val="1"/>
      <w:numFmt w:val="bullet"/>
      <w:lvlText w:val="o"/>
      <w:lvlJc w:val="left"/>
      <w:pPr>
        <w:ind w:left="25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A0C3B94">
      <w:start w:val="1"/>
      <w:numFmt w:val="bullet"/>
      <w:lvlText w:val="▪"/>
      <w:lvlJc w:val="left"/>
      <w:pPr>
        <w:ind w:left="32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8DE151E">
      <w:start w:val="1"/>
      <w:numFmt w:val="bullet"/>
      <w:lvlText w:val="•"/>
      <w:lvlJc w:val="left"/>
      <w:pPr>
        <w:ind w:left="39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79ECF30">
      <w:start w:val="1"/>
      <w:numFmt w:val="bullet"/>
      <w:lvlText w:val="o"/>
      <w:lvlJc w:val="left"/>
      <w:pPr>
        <w:ind w:left="46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23A7E84">
      <w:start w:val="1"/>
      <w:numFmt w:val="bullet"/>
      <w:lvlText w:val="▪"/>
      <w:lvlJc w:val="left"/>
      <w:pPr>
        <w:ind w:left="53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562B020">
      <w:start w:val="1"/>
      <w:numFmt w:val="bullet"/>
      <w:lvlText w:val="•"/>
      <w:lvlJc w:val="left"/>
      <w:pPr>
        <w:ind w:left="61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A26A768">
      <w:start w:val="1"/>
      <w:numFmt w:val="bullet"/>
      <w:lvlText w:val="o"/>
      <w:lvlJc w:val="left"/>
      <w:pPr>
        <w:ind w:left="68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2A27D18">
      <w:start w:val="1"/>
      <w:numFmt w:val="bullet"/>
      <w:lvlText w:val="▪"/>
      <w:lvlJc w:val="left"/>
      <w:pPr>
        <w:ind w:left="75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6" w15:restartNumberingAfterBreak="0">
    <w:nsid w:val="65966722"/>
    <w:multiLevelType w:val="hybridMultilevel"/>
    <w:tmpl w:val="D1207790"/>
    <w:lvl w:ilvl="0" w:tplc="B88445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8084F01"/>
    <w:multiLevelType w:val="hybridMultilevel"/>
    <w:tmpl w:val="4B5ECB58"/>
    <w:lvl w:ilvl="0" w:tplc="2E76A9AE">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8" w15:restartNumberingAfterBreak="0">
    <w:nsid w:val="69F7000C"/>
    <w:multiLevelType w:val="hybridMultilevel"/>
    <w:tmpl w:val="E18C76F4"/>
    <w:lvl w:ilvl="0" w:tplc="0B147EB4">
      <w:start w:val="1"/>
      <w:numFmt w:val="bullet"/>
      <w:lvlText w:val="—"/>
      <w:lvlJc w:val="left"/>
      <w:pPr>
        <w:ind w:left="720" w:hanging="360"/>
      </w:pPr>
      <w:rPr>
        <w:rFonts w:ascii="Arial" w:hAnsi="Arial"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5C022A"/>
    <w:multiLevelType w:val="hybridMultilevel"/>
    <w:tmpl w:val="DC62498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0" w15:restartNumberingAfterBreak="0">
    <w:nsid w:val="6F572AB0"/>
    <w:multiLevelType w:val="hybridMultilevel"/>
    <w:tmpl w:val="E156207E"/>
    <w:lvl w:ilvl="0" w:tplc="8CD673EC">
      <w:start w:val="4"/>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70194C3C"/>
    <w:multiLevelType w:val="hybridMultilevel"/>
    <w:tmpl w:val="380C84E6"/>
    <w:lvl w:ilvl="0" w:tplc="2E76A9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1D6545"/>
    <w:multiLevelType w:val="hybridMultilevel"/>
    <w:tmpl w:val="8FE600F2"/>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3" w15:restartNumberingAfterBreak="0">
    <w:nsid w:val="753722FF"/>
    <w:multiLevelType w:val="hybridMultilevel"/>
    <w:tmpl w:val="9AF43392"/>
    <w:lvl w:ilvl="0" w:tplc="3FFAAD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88F4F3A"/>
    <w:multiLevelType w:val="hybridMultilevel"/>
    <w:tmpl w:val="7BC4AF82"/>
    <w:lvl w:ilvl="0" w:tplc="340888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D2135F8"/>
    <w:multiLevelType w:val="hybridMultilevel"/>
    <w:tmpl w:val="2FBA7952"/>
    <w:lvl w:ilvl="0" w:tplc="3FFAADBE">
      <w:start w:val="1"/>
      <w:numFmt w:val="bullet"/>
      <w:lvlText w:val=""/>
      <w:lvlJc w:val="left"/>
      <w:pPr>
        <w:ind w:left="106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F84445E"/>
    <w:multiLevelType w:val="hybridMultilevel"/>
    <w:tmpl w:val="D78C9B44"/>
    <w:lvl w:ilvl="0" w:tplc="8CD673EC">
      <w:start w:val="4"/>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1"/>
  </w:num>
  <w:num w:numId="2">
    <w:abstractNumId w:val="1"/>
  </w:num>
  <w:num w:numId="3">
    <w:abstractNumId w:val="3"/>
  </w:num>
  <w:num w:numId="4">
    <w:abstractNumId w:val="10"/>
  </w:num>
  <w:num w:numId="5">
    <w:abstractNumId w:val="8"/>
  </w:num>
  <w:num w:numId="6">
    <w:abstractNumId w:val="30"/>
  </w:num>
  <w:num w:numId="7">
    <w:abstractNumId w:val="18"/>
  </w:num>
  <w:num w:numId="8">
    <w:abstractNumId w:val="36"/>
  </w:num>
  <w:num w:numId="9">
    <w:abstractNumId w:val="24"/>
  </w:num>
  <w:num w:numId="10">
    <w:abstractNumId w:val="13"/>
  </w:num>
  <w:num w:numId="11">
    <w:abstractNumId w:val="32"/>
  </w:num>
  <w:num w:numId="12">
    <w:abstractNumId w:val="2"/>
  </w:num>
  <w:num w:numId="13">
    <w:abstractNumId w:val="34"/>
  </w:num>
  <w:num w:numId="14">
    <w:abstractNumId w:val="6"/>
  </w:num>
  <w:num w:numId="15">
    <w:abstractNumId w:val="28"/>
  </w:num>
  <w:num w:numId="16">
    <w:abstractNumId w:val="31"/>
  </w:num>
  <w:num w:numId="17">
    <w:abstractNumId w:val="4"/>
  </w:num>
  <w:num w:numId="18">
    <w:abstractNumId w:val="22"/>
  </w:num>
  <w:num w:numId="19">
    <w:abstractNumId w:val="27"/>
  </w:num>
  <w:num w:numId="20">
    <w:abstractNumId w:val="16"/>
  </w:num>
  <w:num w:numId="21">
    <w:abstractNumId w:val="0"/>
  </w:num>
  <w:num w:numId="22">
    <w:abstractNumId w:val="23"/>
  </w:num>
  <w:num w:numId="23">
    <w:abstractNumId w:val="7"/>
  </w:num>
  <w:num w:numId="24">
    <w:abstractNumId w:val="20"/>
  </w:num>
  <w:num w:numId="25">
    <w:abstractNumId w:val="9"/>
  </w:num>
  <w:num w:numId="26">
    <w:abstractNumId w:val="12"/>
  </w:num>
  <w:num w:numId="27">
    <w:abstractNumId w:val="25"/>
  </w:num>
  <w:num w:numId="28">
    <w:abstractNumId w:val="15"/>
  </w:num>
  <w:num w:numId="29">
    <w:abstractNumId w:val="11"/>
  </w:num>
  <w:num w:numId="30">
    <w:abstractNumId w:val="33"/>
  </w:num>
  <w:num w:numId="31">
    <w:abstractNumId w:val="35"/>
  </w:num>
  <w:num w:numId="32">
    <w:abstractNumId w:val="19"/>
  </w:num>
  <w:num w:numId="33">
    <w:abstractNumId w:val="26"/>
  </w:num>
  <w:num w:numId="34">
    <w:abstractNumId w:val="19"/>
  </w:num>
  <w:num w:numId="35">
    <w:abstractNumId w:val="29"/>
  </w:num>
  <w:num w:numId="36">
    <w:abstractNumId w:val="14"/>
  </w:num>
  <w:num w:numId="37">
    <w:abstractNumId w:val="17"/>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570"/>
    <w:rsid w:val="00003D79"/>
    <w:rsid w:val="00005FA5"/>
    <w:rsid w:val="000151B0"/>
    <w:rsid w:val="00022FE9"/>
    <w:rsid w:val="00027A1A"/>
    <w:rsid w:val="000457A9"/>
    <w:rsid w:val="0005566B"/>
    <w:rsid w:val="0005702A"/>
    <w:rsid w:val="0006116D"/>
    <w:rsid w:val="00062656"/>
    <w:rsid w:val="00064175"/>
    <w:rsid w:val="00071400"/>
    <w:rsid w:val="00085FC2"/>
    <w:rsid w:val="000929BC"/>
    <w:rsid w:val="00094D98"/>
    <w:rsid w:val="00094E93"/>
    <w:rsid w:val="000A3C2D"/>
    <w:rsid w:val="000A472C"/>
    <w:rsid w:val="000B1496"/>
    <w:rsid w:val="000C121D"/>
    <w:rsid w:val="000C2F61"/>
    <w:rsid w:val="000C66EE"/>
    <w:rsid w:val="000D3E7C"/>
    <w:rsid w:val="000D4A56"/>
    <w:rsid w:val="000D5F29"/>
    <w:rsid w:val="000E2855"/>
    <w:rsid w:val="000F1E8F"/>
    <w:rsid w:val="000F3A31"/>
    <w:rsid w:val="000F70E3"/>
    <w:rsid w:val="00105851"/>
    <w:rsid w:val="00110715"/>
    <w:rsid w:val="0011190E"/>
    <w:rsid w:val="00111C06"/>
    <w:rsid w:val="00114AE4"/>
    <w:rsid w:val="00120677"/>
    <w:rsid w:val="00133E70"/>
    <w:rsid w:val="00134CC1"/>
    <w:rsid w:val="00136294"/>
    <w:rsid w:val="00136C0B"/>
    <w:rsid w:val="001420FE"/>
    <w:rsid w:val="00143B69"/>
    <w:rsid w:val="001477B7"/>
    <w:rsid w:val="001512AC"/>
    <w:rsid w:val="00162C42"/>
    <w:rsid w:val="001726D2"/>
    <w:rsid w:val="00180085"/>
    <w:rsid w:val="00192800"/>
    <w:rsid w:val="001A2892"/>
    <w:rsid w:val="001A34D2"/>
    <w:rsid w:val="001B3E61"/>
    <w:rsid w:val="001B58A7"/>
    <w:rsid w:val="001B658D"/>
    <w:rsid w:val="001D5E10"/>
    <w:rsid w:val="001D769F"/>
    <w:rsid w:val="001E48E5"/>
    <w:rsid w:val="001E6893"/>
    <w:rsid w:val="001F32AB"/>
    <w:rsid w:val="001F607B"/>
    <w:rsid w:val="002112B3"/>
    <w:rsid w:val="00216F85"/>
    <w:rsid w:val="00224493"/>
    <w:rsid w:val="00225077"/>
    <w:rsid w:val="00225CEE"/>
    <w:rsid w:val="002279A6"/>
    <w:rsid w:val="00250080"/>
    <w:rsid w:val="002507F9"/>
    <w:rsid w:val="00257BFD"/>
    <w:rsid w:val="0027749A"/>
    <w:rsid w:val="00277AB5"/>
    <w:rsid w:val="00280ABF"/>
    <w:rsid w:val="0028543E"/>
    <w:rsid w:val="00286D46"/>
    <w:rsid w:val="00287F76"/>
    <w:rsid w:val="002912A8"/>
    <w:rsid w:val="00291D5E"/>
    <w:rsid w:val="002A7DD4"/>
    <w:rsid w:val="002B0D70"/>
    <w:rsid w:val="002B18C9"/>
    <w:rsid w:val="002B32C0"/>
    <w:rsid w:val="002B490B"/>
    <w:rsid w:val="002B59F5"/>
    <w:rsid w:val="002B7BF9"/>
    <w:rsid w:val="002C215E"/>
    <w:rsid w:val="002C7889"/>
    <w:rsid w:val="002D1EDA"/>
    <w:rsid w:val="002E317F"/>
    <w:rsid w:val="002E5C39"/>
    <w:rsid w:val="002F414A"/>
    <w:rsid w:val="00304FFD"/>
    <w:rsid w:val="00305CA0"/>
    <w:rsid w:val="003133B2"/>
    <w:rsid w:val="00317B48"/>
    <w:rsid w:val="00321CF5"/>
    <w:rsid w:val="00323F7A"/>
    <w:rsid w:val="003242A2"/>
    <w:rsid w:val="00331C7E"/>
    <w:rsid w:val="00334107"/>
    <w:rsid w:val="003409B0"/>
    <w:rsid w:val="0034297A"/>
    <w:rsid w:val="00350265"/>
    <w:rsid w:val="00351381"/>
    <w:rsid w:val="00361523"/>
    <w:rsid w:val="00370822"/>
    <w:rsid w:val="00370F29"/>
    <w:rsid w:val="00371FDC"/>
    <w:rsid w:val="00373161"/>
    <w:rsid w:val="003761A4"/>
    <w:rsid w:val="003775D3"/>
    <w:rsid w:val="00382385"/>
    <w:rsid w:val="003848D3"/>
    <w:rsid w:val="00387907"/>
    <w:rsid w:val="00391327"/>
    <w:rsid w:val="00391E5D"/>
    <w:rsid w:val="0039345E"/>
    <w:rsid w:val="00394975"/>
    <w:rsid w:val="003A3A20"/>
    <w:rsid w:val="003A4C16"/>
    <w:rsid w:val="003B2E33"/>
    <w:rsid w:val="003C61B1"/>
    <w:rsid w:val="003C758D"/>
    <w:rsid w:val="003C76DA"/>
    <w:rsid w:val="003D4C6D"/>
    <w:rsid w:val="003E1383"/>
    <w:rsid w:val="003E3BE4"/>
    <w:rsid w:val="0040291C"/>
    <w:rsid w:val="004045A7"/>
    <w:rsid w:val="0040463F"/>
    <w:rsid w:val="00433A0C"/>
    <w:rsid w:val="004366B4"/>
    <w:rsid w:val="00453A47"/>
    <w:rsid w:val="0046564A"/>
    <w:rsid w:val="004665A1"/>
    <w:rsid w:val="00466648"/>
    <w:rsid w:val="004675B6"/>
    <w:rsid w:val="0049003E"/>
    <w:rsid w:val="004937B1"/>
    <w:rsid w:val="00496D75"/>
    <w:rsid w:val="004A1396"/>
    <w:rsid w:val="004A13EA"/>
    <w:rsid w:val="004A1639"/>
    <w:rsid w:val="004A4432"/>
    <w:rsid w:val="004C5C46"/>
    <w:rsid w:val="004C7592"/>
    <w:rsid w:val="004D5CBE"/>
    <w:rsid w:val="004D726D"/>
    <w:rsid w:val="004E64E3"/>
    <w:rsid w:val="004F1A44"/>
    <w:rsid w:val="004F374A"/>
    <w:rsid w:val="004F5710"/>
    <w:rsid w:val="005047BA"/>
    <w:rsid w:val="005111E5"/>
    <w:rsid w:val="005158F9"/>
    <w:rsid w:val="00516948"/>
    <w:rsid w:val="005361A0"/>
    <w:rsid w:val="00544C33"/>
    <w:rsid w:val="00547252"/>
    <w:rsid w:val="00550938"/>
    <w:rsid w:val="00551510"/>
    <w:rsid w:val="00567F5C"/>
    <w:rsid w:val="0057024B"/>
    <w:rsid w:val="00573CF7"/>
    <w:rsid w:val="0058310B"/>
    <w:rsid w:val="00586B25"/>
    <w:rsid w:val="005A24A6"/>
    <w:rsid w:val="005B4BAA"/>
    <w:rsid w:val="005B6D52"/>
    <w:rsid w:val="005B70D6"/>
    <w:rsid w:val="005C44CB"/>
    <w:rsid w:val="005C4AB3"/>
    <w:rsid w:val="005C7DD5"/>
    <w:rsid w:val="005D24C7"/>
    <w:rsid w:val="005E435A"/>
    <w:rsid w:val="005F4DA3"/>
    <w:rsid w:val="00606F1B"/>
    <w:rsid w:val="00611B41"/>
    <w:rsid w:val="00613C89"/>
    <w:rsid w:val="006144AB"/>
    <w:rsid w:val="00616D8E"/>
    <w:rsid w:val="006319B3"/>
    <w:rsid w:val="00641B36"/>
    <w:rsid w:val="00645456"/>
    <w:rsid w:val="00651AF5"/>
    <w:rsid w:val="00651DBB"/>
    <w:rsid w:val="00654B43"/>
    <w:rsid w:val="0066746C"/>
    <w:rsid w:val="00673A02"/>
    <w:rsid w:val="00673D7A"/>
    <w:rsid w:val="00674A04"/>
    <w:rsid w:val="00687E9A"/>
    <w:rsid w:val="0069680E"/>
    <w:rsid w:val="006B10CF"/>
    <w:rsid w:val="006B3A99"/>
    <w:rsid w:val="006B3F38"/>
    <w:rsid w:val="006B491B"/>
    <w:rsid w:val="006D220E"/>
    <w:rsid w:val="006E3D1B"/>
    <w:rsid w:val="006F110E"/>
    <w:rsid w:val="006F241D"/>
    <w:rsid w:val="007007EE"/>
    <w:rsid w:val="00716B18"/>
    <w:rsid w:val="007202CD"/>
    <w:rsid w:val="007205A4"/>
    <w:rsid w:val="007230EA"/>
    <w:rsid w:val="007336D0"/>
    <w:rsid w:val="00733C07"/>
    <w:rsid w:val="00755A9E"/>
    <w:rsid w:val="0076055F"/>
    <w:rsid w:val="0076658A"/>
    <w:rsid w:val="007760A9"/>
    <w:rsid w:val="00781E15"/>
    <w:rsid w:val="00782BED"/>
    <w:rsid w:val="0078655D"/>
    <w:rsid w:val="007A178D"/>
    <w:rsid w:val="007B2230"/>
    <w:rsid w:val="007D3416"/>
    <w:rsid w:val="007E11F8"/>
    <w:rsid w:val="007E4680"/>
    <w:rsid w:val="007F0E21"/>
    <w:rsid w:val="007F53DA"/>
    <w:rsid w:val="007F6B37"/>
    <w:rsid w:val="00805118"/>
    <w:rsid w:val="00805D6E"/>
    <w:rsid w:val="008075C4"/>
    <w:rsid w:val="00810719"/>
    <w:rsid w:val="008108ED"/>
    <w:rsid w:val="00811687"/>
    <w:rsid w:val="00813A46"/>
    <w:rsid w:val="00842818"/>
    <w:rsid w:val="00863D9E"/>
    <w:rsid w:val="008851D6"/>
    <w:rsid w:val="008928F7"/>
    <w:rsid w:val="00895F68"/>
    <w:rsid w:val="008A5EA7"/>
    <w:rsid w:val="008C151A"/>
    <w:rsid w:val="008D297C"/>
    <w:rsid w:val="008D549E"/>
    <w:rsid w:val="008D61C4"/>
    <w:rsid w:val="008F73DD"/>
    <w:rsid w:val="00901123"/>
    <w:rsid w:val="00903320"/>
    <w:rsid w:val="00905C08"/>
    <w:rsid w:val="00906FE4"/>
    <w:rsid w:val="00920CA3"/>
    <w:rsid w:val="00923B61"/>
    <w:rsid w:val="0092415C"/>
    <w:rsid w:val="00935504"/>
    <w:rsid w:val="009450F9"/>
    <w:rsid w:val="0095131E"/>
    <w:rsid w:val="009526E2"/>
    <w:rsid w:val="00955EA1"/>
    <w:rsid w:val="00956BD4"/>
    <w:rsid w:val="00962924"/>
    <w:rsid w:val="00966D17"/>
    <w:rsid w:val="0096737A"/>
    <w:rsid w:val="009767E6"/>
    <w:rsid w:val="00987BBE"/>
    <w:rsid w:val="00990AF6"/>
    <w:rsid w:val="00990FDE"/>
    <w:rsid w:val="009918BC"/>
    <w:rsid w:val="009A12C3"/>
    <w:rsid w:val="009B1767"/>
    <w:rsid w:val="009B7055"/>
    <w:rsid w:val="009C2778"/>
    <w:rsid w:val="009D0960"/>
    <w:rsid w:val="009E2F12"/>
    <w:rsid w:val="009E71E0"/>
    <w:rsid w:val="009F0B96"/>
    <w:rsid w:val="009F48D2"/>
    <w:rsid w:val="00A0055E"/>
    <w:rsid w:val="00A02626"/>
    <w:rsid w:val="00A05EAF"/>
    <w:rsid w:val="00A12B1C"/>
    <w:rsid w:val="00A14C01"/>
    <w:rsid w:val="00A2691B"/>
    <w:rsid w:val="00A32917"/>
    <w:rsid w:val="00A32C38"/>
    <w:rsid w:val="00A330F8"/>
    <w:rsid w:val="00A35C2D"/>
    <w:rsid w:val="00A35E2D"/>
    <w:rsid w:val="00A4714C"/>
    <w:rsid w:val="00A473D9"/>
    <w:rsid w:val="00A55491"/>
    <w:rsid w:val="00A645F5"/>
    <w:rsid w:val="00A73B82"/>
    <w:rsid w:val="00AA0A59"/>
    <w:rsid w:val="00AA68EC"/>
    <w:rsid w:val="00AA7EC5"/>
    <w:rsid w:val="00AB5DD0"/>
    <w:rsid w:val="00AC1D2B"/>
    <w:rsid w:val="00AC5778"/>
    <w:rsid w:val="00AC7BB6"/>
    <w:rsid w:val="00AC7E94"/>
    <w:rsid w:val="00AE4E6B"/>
    <w:rsid w:val="00AF6E0E"/>
    <w:rsid w:val="00B0479F"/>
    <w:rsid w:val="00B065CF"/>
    <w:rsid w:val="00B14DD2"/>
    <w:rsid w:val="00B16295"/>
    <w:rsid w:val="00B168F9"/>
    <w:rsid w:val="00B23DB4"/>
    <w:rsid w:val="00B23F04"/>
    <w:rsid w:val="00B2519F"/>
    <w:rsid w:val="00B37941"/>
    <w:rsid w:val="00B40B81"/>
    <w:rsid w:val="00B4374C"/>
    <w:rsid w:val="00B477F9"/>
    <w:rsid w:val="00B505C4"/>
    <w:rsid w:val="00B64951"/>
    <w:rsid w:val="00B70490"/>
    <w:rsid w:val="00B731C7"/>
    <w:rsid w:val="00B84B78"/>
    <w:rsid w:val="00B92B7E"/>
    <w:rsid w:val="00B96594"/>
    <w:rsid w:val="00BA19BC"/>
    <w:rsid w:val="00BB465A"/>
    <w:rsid w:val="00BB734F"/>
    <w:rsid w:val="00BC32F5"/>
    <w:rsid w:val="00BD1175"/>
    <w:rsid w:val="00BD460B"/>
    <w:rsid w:val="00BE3E27"/>
    <w:rsid w:val="00BE7716"/>
    <w:rsid w:val="00C01080"/>
    <w:rsid w:val="00C016CB"/>
    <w:rsid w:val="00C25510"/>
    <w:rsid w:val="00C260F0"/>
    <w:rsid w:val="00C265D1"/>
    <w:rsid w:val="00C30CC5"/>
    <w:rsid w:val="00C34643"/>
    <w:rsid w:val="00C44FAA"/>
    <w:rsid w:val="00C50786"/>
    <w:rsid w:val="00C57274"/>
    <w:rsid w:val="00C5778B"/>
    <w:rsid w:val="00C64A35"/>
    <w:rsid w:val="00C703DD"/>
    <w:rsid w:val="00C7566E"/>
    <w:rsid w:val="00C83D7E"/>
    <w:rsid w:val="00C86463"/>
    <w:rsid w:val="00C96604"/>
    <w:rsid w:val="00C97A67"/>
    <w:rsid w:val="00CA238D"/>
    <w:rsid w:val="00CB0717"/>
    <w:rsid w:val="00CB4570"/>
    <w:rsid w:val="00CB4791"/>
    <w:rsid w:val="00CB5A0C"/>
    <w:rsid w:val="00CC3DFF"/>
    <w:rsid w:val="00CC4BBE"/>
    <w:rsid w:val="00CD3CEC"/>
    <w:rsid w:val="00CE081D"/>
    <w:rsid w:val="00CE0FC1"/>
    <w:rsid w:val="00CE49A1"/>
    <w:rsid w:val="00CF21FA"/>
    <w:rsid w:val="00CF3788"/>
    <w:rsid w:val="00CF4BEE"/>
    <w:rsid w:val="00D07C40"/>
    <w:rsid w:val="00D10D6F"/>
    <w:rsid w:val="00D130F2"/>
    <w:rsid w:val="00D20177"/>
    <w:rsid w:val="00D2152E"/>
    <w:rsid w:val="00D22FCD"/>
    <w:rsid w:val="00D26349"/>
    <w:rsid w:val="00D33DE4"/>
    <w:rsid w:val="00D40C2E"/>
    <w:rsid w:val="00D4156F"/>
    <w:rsid w:val="00D5244A"/>
    <w:rsid w:val="00D5266E"/>
    <w:rsid w:val="00D56CED"/>
    <w:rsid w:val="00D7226F"/>
    <w:rsid w:val="00D81B41"/>
    <w:rsid w:val="00D871D6"/>
    <w:rsid w:val="00DA0276"/>
    <w:rsid w:val="00DA6945"/>
    <w:rsid w:val="00DB2F4B"/>
    <w:rsid w:val="00DB31C7"/>
    <w:rsid w:val="00DD12E0"/>
    <w:rsid w:val="00DD1F5A"/>
    <w:rsid w:val="00DD2E87"/>
    <w:rsid w:val="00DD47EF"/>
    <w:rsid w:val="00DD488C"/>
    <w:rsid w:val="00DE34D5"/>
    <w:rsid w:val="00DE65BD"/>
    <w:rsid w:val="00E03ACF"/>
    <w:rsid w:val="00E051E7"/>
    <w:rsid w:val="00E131CD"/>
    <w:rsid w:val="00E165E1"/>
    <w:rsid w:val="00E2132C"/>
    <w:rsid w:val="00E30DC9"/>
    <w:rsid w:val="00E31435"/>
    <w:rsid w:val="00E333F4"/>
    <w:rsid w:val="00E35243"/>
    <w:rsid w:val="00E45C37"/>
    <w:rsid w:val="00E61E61"/>
    <w:rsid w:val="00E62632"/>
    <w:rsid w:val="00E764B9"/>
    <w:rsid w:val="00E915BF"/>
    <w:rsid w:val="00EA0093"/>
    <w:rsid w:val="00EC468D"/>
    <w:rsid w:val="00EC5CE7"/>
    <w:rsid w:val="00ED0B28"/>
    <w:rsid w:val="00ED3438"/>
    <w:rsid w:val="00ED35DC"/>
    <w:rsid w:val="00ED4457"/>
    <w:rsid w:val="00EE1E96"/>
    <w:rsid w:val="00EF0BD2"/>
    <w:rsid w:val="00EF7D0C"/>
    <w:rsid w:val="00F30633"/>
    <w:rsid w:val="00F4452D"/>
    <w:rsid w:val="00F44624"/>
    <w:rsid w:val="00F4514B"/>
    <w:rsid w:val="00F56382"/>
    <w:rsid w:val="00F62DCC"/>
    <w:rsid w:val="00F70172"/>
    <w:rsid w:val="00F76FA4"/>
    <w:rsid w:val="00F76FAB"/>
    <w:rsid w:val="00FA7F3C"/>
    <w:rsid w:val="00FB04C0"/>
    <w:rsid w:val="00FC75D8"/>
    <w:rsid w:val="00FD5A60"/>
    <w:rsid w:val="00FE0310"/>
    <w:rsid w:val="00FE08FA"/>
    <w:rsid w:val="00FE19F2"/>
    <w:rsid w:val="00FE1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8B16D2F"/>
  <w15:chartTrackingRefBased/>
  <w15:docId w15:val="{2593673C-3E51-400E-B388-C20F0DDED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9280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96D75"/>
    <w:pPr>
      <w:spacing w:line="276" w:lineRule="auto"/>
      <w:outlineLvl w:val="1"/>
    </w:pPr>
    <w:rPr>
      <w:rFonts w:ascii="Times New Roman" w:hAnsi="Times New Roman" w:cs="Times New Roman"/>
      <w:i/>
      <w:sz w:val="26"/>
      <w:szCs w:val="26"/>
    </w:rPr>
  </w:style>
  <w:style w:type="paragraph" w:styleId="3">
    <w:name w:val="heading 3"/>
    <w:basedOn w:val="a"/>
    <w:next w:val="a"/>
    <w:link w:val="30"/>
    <w:uiPriority w:val="9"/>
    <w:semiHidden/>
    <w:unhideWhenUsed/>
    <w:qFormat/>
    <w:rsid w:val="00DB2F4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able-Normal,RSHB_Table-Normal,1,UL,Абзац маркированнный,Bullet_IRAO,Мой Список,AC List 01,Подпись рисунка,List Paragraph1,Абзац списка◄,Bullet List,FooterText,numbered,ПАРАГРАФ,Абзац списка3,Colorful List Accent 1,Абзац списка41,Абзац"/>
    <w:basedOn w:val="a"/>
    <w:link w:val="a4"/>
    <w:uiPriority w:val="34"/>
    <w:qFormat/>
    <w:rsid w:val="00EF7D0C"/>
    <w:pPr>
      <w:ind w:left="720"/>
      <w:contextualSpacing/>
    </w:pPr>
  </w:style>
  <w:style w:type="paragraph" w:styleId="a5">
    <w:name w:val="Normal (Web)"/>
    <w:basedOn w:val="a"/>
    <w:uiPriority w:val="99"/>
    <w:unhideWhenUsed/>
    <w:rsid w:val="00FE0310"/>
    <w:pPr>
      <w:spacing w:before="100" w:beforeAutospacing="1" w:after="100" w:afterAutospacing="1"/>
    </w:pPr>
    <w:rPr>
      <w:rFonts w:ascii="Times New Roman" w:eastAsia="Times New Roman" w:hAnsi="Times New Roman" w:cs="Times New Roman"/>
      <w:sz w:val="24"/>
      <w:szCs w:val="24"/>
      <w:lang w:eastAsia="ru-RU"/>
    </w:rPr>
  </w:style>
  <w:style w:type="paragraph" w:styleId="a6">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Table_Footnote_las,З"/>
    <w:basedOn w:val="a"/>
    <w:link w:val="a7"/>
    <w:uiPriority w:val="99"/>
    <w:qFormat/>
    <w:rsid w:val="00FE0310"/>
    <w:rPr>
      <w:rFonts w:ascii="Times New Roman" w:eastAsia="Times New Roman" w:hAnsi="Times New Roman" w:cs="Times New Roman"/>
      <w:sz w:val="20"/>
      <w:szCs w:val="20"/>
      <w:lang w:eastAsia="ru-RU"/>
    </w:rPr>
  </w:style>
  <w:style w:type="character" w:customStyle="1" w:styleId="a7">
    <w:name w:val="Текст сноски Знак"/>
    <w:aliases w:val="Текст сноски Знак Знак Знак1,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З Знак"/>
    <w:basedOn w:val="a0"/>
    <w:link w:val="a6"/>
    <w:uiPriority w:val="99"/>
    <w:qFormat/>
    <w:rsid w:val="00FE0310"/>
    <w:rPr>
      <w:rFonts w:ascii="Times New Roman" w:eastAsia="Times New Roman" w:hAnsi="Times New Roman" w:cs="Times New Roman"/>
      <w:sz w:val="20"/>
      <w:szCs w:val="20"/>
      <w:lang w:eastAsia="ru-RU"/>
    </w:rPr>
  </w:style>
  <w:style w:type="character" w:styleId="a8">
    <w:name w:val="footnote reference"/>
    <w:aliases w:val="Знак сноски 1,Знак сноски-FN,Ciae niinee-FN,fr,Used by Word for Help footnote symbols,Referencia nota al pie,ftref,сноска,Знак сноски Даша,вески,SUPERS,Знак сноски1,ХИА_ЗС,Текст сноски Знак2 Знак Знак1,Текст сноски Знак1 Знак Знак Зн,ftre,f"/>
    <w:basedOn w:val="a0"/>
    <w:link w:val="CharChar1CharCharCharChar1CharCharCharCharCharCharCharChar"/>
    <w:uiPriority w:val="99"/>
    <w:qFormat/>
    <w:rsid w:val="00FE0310"/>
    <w:rPr>
      <w:rFonts w:cs="Times New Roman"/>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a"/>
    <w:next w:val="a"/>
    <w:link w:val="a8"/>
    <w:uiPriority w:val="99"/>
    <w:qFormat/>
    <w:rsid w:val="00FE0310"/>
    <w:pPr>
      <w:spacing w:line="240" w:lineRule="exact"/>
    </w:pPr>
    <w:rPr>
      <w:rFonts w:cs="Times New Roman"/>
      <w:vertAlign w:val="superscript"/>
    </w:rPr>
  </w:style>
  <w:style w:type="paragraph" w:customStyle="1" w:styleId="Pa9">
    <w:name w:val="Pa9"/>
    <w:basedOn w:val="a"/>
    <w:next w:val="a"/>
    <w:uiPriority w:val="99"/>
    <w:rsid w:val="00FE0310"/>
    <w:pPr>
      <w:autoSpaceDE w:val="0"/>
      <w:autoSpaceDN w:val="0"/>
      <w:adjustRightInd w:val="0"/>
      <w:spacing w:line="201" w:lineRule="atLeast"/>
    </w:pPr>
    <w:rPr>
      <w:rFonts w:ascii="Stem Text Italic" w:eastAsia="Times New Roman" w:hAnsi="Stem Text Italic"/>
      <w:sz w:val="24"/>
      <w:szCs w:val="24"/>
    </w:rPr>
  </w:style>
  <w:style w:type="paragraph" w:customStyle="1" w:styleId="Default">
    <w:name w:val="Default"/>
    <w:rsid w:val="00FE0310"/>
    <w:pPr>
      <w:autoSpaceDE w:val="0"/>
      <w:autoSpaceDN w:val="0"/>
      <w:adjustRightInd w:val="0"/>
    </w:pPr>
    <w:rPr>
      <w:rFonts w:ascii="Stem Text" w:hAnsi="Stem Text" w:cs="Stem Text"/>
      <w:color w:val="000000"/>
      <w:sz w:val="24"/>
      <w:szCs w:val="24"/>
    </w:rPr>
  </w:style>
  <w:style w:type="paragraph" w:customStyle="1" w:styleId="Pa12">
    <w:name w:val="Pa12"/>
    <w:basedOn w:val="Default"/>
    <w:next w:val="Default"/>
    <w:uiPriority w:val="99"/>
    <w:rsid w:val="00FE0310"/>
    <w:pPr>
      <w:spacing w:line="201" w:lineRule="atLeast"/>
    </w:pPr>
    <w:rPr>
      <w:rFonts w:cstheme="minorBidi"/>
      <w:color w:val="auto"/>
    </w:rPr>
  </w:style>
  <w:style w:type="paragraph" w:customStyle="1" w:styleId="Pa26">
    <w:name w:val="Pa26"/>
    <w:basedOn w:val="Default"/>
    <w:next w:val="Default"/>
    <w:uiPriority w:val="99"/>
    <w:rsid w:val="00805118"/>
    <w:pPr>
      <w:spacing w:line="201" w:lineRule="atLeast"/>
    </w:pPr>
    <w:rPr>
      <w:rFonts w:ascii="Stem Text Italic" w:hAnsi="Stem Text Italic" w:cstheme="minorBidi"/>
      <w:color w:val="auto"/>
    </w:rPr>
  </w:style>
  <w:style w:type="paragraph" w:customStyle="1" w:styleId="Pa13">
    <w:name w:val="Pa13"/>
    <w:basedOn w:val="Default"/>
    <w:next w:val="Default"/>
    <w:uiPriority w:val="99"/>
    <w:rsid w:val="00805118"/>
    <w:pPr>
      <w:spacing w:line="161" w:lineRule="atLeast"/>
    </w:pPr>
    <w:rPr>
      <w:rFonts w:ascii="Stem Text Italic" w:hAnsi="Stem Text Italic" w:cstheme="minorBidi"/>
      <w:color w:val="auto"/>
    </w:rPr>
  </w:style>
  <w:style w:type="character" w:customStyle="1" w:styleId="A11">
    <w:name w:val="A11"/>
    <w:uiPriority w:val="99"/>
    <w:rsid w:val="00805118"/>
    <w:rPr>
      <w:rFonts w:cs="Stem Text Italic"/>
      <w:i/>
      <w:iCs/>
      <w:color w:val="000000"/>
      <w:sz w:val="16"/>
      <w:szCs w:val="16"/>
      <w:u w:val="single"/>
    </w:rPr>
  </w:style>
  <w:style w:type="character" w:styleId="a9">
    <w:name w:val="annotation reference"/>
    <w:basedOn w:val="a0"/>
    <w:uiPriority w:val="99"/>
    <w:semiHidden/>
    <w:unhideWhenUsed/>
    <w:rsid w:val="00AC1D2B"/>
    <w:rPr>
      <w:sz w:val="16"/>
      <w:szCs w:val="16"/>
    </w:rPr>
  </w:style>
  <w:style w:type="paragraph" w:styleId="aa">
    <w:name w:val="annotation text"/>
    <w:basedOn w:val="a"/>
    <w:link w:val="ab"/>
    <w:uiPriority w:val="99"/>
    <w:semiHidden/>
    <w:unhideWhenUsed/>
    <w:rsid w:val="00AC1D2B"/>
    <w:rPr>
      <w:sz w:val="20"/>
      <w:szCs w:val="20"/>
    </w:rPr>
  </w:style>
  <w:style w:type="character" w:customStyle="1" w:styleId="ab">
    <w:name w:val="Текст примечания Знак"/>
    <w:basedOn w:val="a0"/>
    <w:link w:val="aa"/>
    <w:uiPriority w:val="99"/>
    <w:semiHidden/>
    <w:rsid w:val="00AC1D2B"/>
    <w:rPr>
      <w:sz w:val="20"/>
      <w:szCs w:val="20"/>
    </w:rPr>
  </w:style>
  <w:style w:type="paragraph" w:styleId="ac">
    <w:name w:val="Balloon Text"/>
    <w:basedOn w:val="a"/>
    <w:link w:val="ad"/>
    <w:uiPriority w:val="99"/>
    <w:semiHidden/>
    <w:unhideWhenUsed/>
    <w:rsid w:val="00AC1D2B"/>
    <w:rPr>
      <w:rFonts w:ascii="Segoe UI" w:hAnsi="Segoe UI" w:cs="Segoe UI"/>
      <w:sz w:val="18"/>
      <w:szCs w:val="18"/>
    </w:rPr>
  </w:style>
  <w:style w:type="character" w:customStyle="1" w:styleId="ad">
    <w:name w:val="Текст выноски Знак"/>
    <w:basedOn w:val="a0"/>
    <w:link w:val="ac"/>
    <w:uiPriority w:val="99"/>
    <w:semiHidden/>
    <w:rsid w:val="00AC1D2B"/>
    <w:rPr>
      <w:rFonts w:ascii="Segoe UI" w:hAnsi="Segoe UI" w:cs="Segoe UI"/>
      <w:sz w:val="18"/>
      <w:szCs w:val="18"/>
    </w:rPr>
  </w:style>
  <w:style w:type="character" w:customStyle="1" w:styleId="a4">
    <w:name w:val="Абзац списка Знак"/>
    <w:aliases w:val="Table-Normal Знак,RSHB_Table-Normal Знак,1 Знак,UL Знак,Абзац маркированнный Знак,Bullet_IRAO Знак,Мой Список Знак,AC List 01 Знак,Подпись рисунка Знак,List Paragraph1 Знак,Абзац списка◄ Знак,Bullet List Знак,FooterText Знак,Абзац Знак"/>
    <w:link w:val="a3"/>
    <w:uiPriority w:val="34"/>
    <w:qFormat/>
    <w:locked/>
    <w:rsid w:val="00BA19BC"/>
  </w:style>
  <w:style w:type="paragraph" w:styleId="ae">
    <w:name w:val="No Spacing"/>
    <w:aliases w:val="3ж,33,для вставки"/>
    <w:link w:val="af"/>
    <w:uiPriority w:val="1"/>
    <w:qFormat/>
    <w:rsid w:val="00BA19BC"/>
  </w:style>
  <w:style w:type="character" w:customStyle="1" w:styleId="af">
    <w:name w:val="Без интервала Знак"/>
    <w:aliases w:val="3ж Знак,33 Знак,для вставки Знак"/>
    <w:link w:val="ae"/>
    <w:uiPriority w:val="1"/>
    <w:locked/>
    <w:rsid w:val="00BA19BC"/>
  </w:style>
  <w:style w:type="character" w:customStyle="1" w:styleId="20">
    <w:name w:val="Заголовок 2 Знак"/>
    <w:basedOn w:val="a0"/>
    <w:link w:val="2"/>
    <w:uiPriority w:val="9"/>
    <w:rsid w:val="00496D75"/>
    <w:rPr>
      <w:rFonts w:ascii="Times New Roman" w:hAnsi="Times New Roman" w:cs="Times New Roman"/>
      <w:i/>
      <w:sz w:val="26"/>
      <w:szCs w:val="26"/>
    </w:rPr>
  </w:style>
  <w:style w:type="character" w:customStyle="1" w:styleId="21">
    <w:name w:val="Основной текст (2)"/>
    <w:basedOn w:val="a0"/>
    <w:rsid w:val="00496D75"/>
    <w:rPr>
      <w:rFonts w:ascii="Arial" w:eastAsia="Arial" w:hAnsi="Arial" w:cs="Arial"/>
      <w:b w:val="0"/>
      <w:bCs w:val="0"/>
      <w:i w:val="0"/>
      <w:iCs w:val="0"/>
      <w:smallCaps w:val="0"/>
      <w:strike w:val="0"/>
      <w:color w:val="000000"/>
      <w:spacing w:val="0"/>
      <w:w w:val="100"/>
      <w:position w:val="0"/>
      <w:sz w:val="22"/>
      <w:szCs w:val="22"/>
      <w:u w:val="none"/>
      <w:lang w:val="ru-RU" w:eastAsia="ru-RU" w:bidi="ru-RU"/>
    </w:rPr>
  </w:style>
  <w:style w:type="paragraph" w:customStyle="1" w:styleId="11">
    <w:name w:val="Текст сноски1"/>
    <w:basedOn w:val="a"/>
    <w:next w:val="a6"/>
    <w:uiPriority w:val="99"/>
    <w:semiHidden/>
    <w:unhideWhenUsed/>
    <w:rsid w:val="00496D75"/>
    <w:rPr>
      <w:sz w:val="20"/>
      <w:szCs w:val="20"/>
    </w:rPr>
  </w:style>
  <w:style w:type="character" w:customStyle="1" w:styleId="4">
    <w:name w:val="Основной текст (4)_"/>
    <w:basedOn w:val="a0"/>
    <w:link w:val="40"/>
    <w:rsid w:val="007205A4"/>
    <w:rPr>
      <w:rFonts w:ascii="Times New Roman" w:eastAsia="Times New Roman" w:hAnsi="Times New Roman" w:cs="Times New Roman"/>
      <w:b/>
      <w:bCs/>
      <w:sz w:val="28"/>
      <w:szCs w:val="28"/>
      <w:shd w:val="clear" w:color="auto" w:fill="FFFFFF"/>
    </w:rPr>
  </w:style>
  <w:style w:type="paragraph" w:customStyle="1" w:styleId="40">
    <w:name w:val="Основной текст (4)"/>
    <w:basedOn w:val="a"/>
    <w:link w:val="4"/>
    <w:rsid w:val="007205A4"/>
    <w:pPr>
      <w:widowControl w:val="0"/>
      <w:shd w:val="clear" w:color="auto" w:fill="FFFFFF"/>
      <w:spacing w:line="384" w:lineRule="exact"/>
      <w:ind w:firstLine="600"/>
      <w:jc w:val="left"/>
    </w:pPr>
    <w:rPr>
      <w:rFonts w:ascii="Times New Roman" w:eastAsia="Times New Roman" w:hAnsi="Times New Roman" w:cs="Times New Roman"/>
      <w:b/>
      <w:bCs/>
      <w:sz w:val="28"/>
      <w:szCs w:val="28"/>
    </w:rPr>
  </w:style>
  <w:style w:type="character" w:customStyle="1" w:styleId="12">
    <w:name w:val="Текст сноски Знак1"/>
    <w:basedOn w:val="a0"/>
    <w:uiPriority w:val="99"/>
    <w:semiHidden/>
    <w:rsid w:val="004045A7"/>
    <w:rPr>
      <w:sz w:val="20"/>
      <w:szCs w:val="20"/>
    </w:rPr>
  </w:style>
  <w:style w:type="character" w:styleId="af0">
    <w:name w:val="Strong"/>
    <w:basedOn w:val="a0"/>
    <w:uiPriority w:val="22"/>
    <w:qFormat/>
    <w:rsid w:val="00DD2E87"/>
    <w:rPr>
      <w:b/>
      <w:bCs/>
    </w:rPr>
  </w:style>
  <w:style w:type="character" w:styleId="af1">
    <w:name w:val="Hyperlink"/>
    <w:basedOn w:val="a0"/>
    <w:uiPriority w:val="99"/>
    <w:unhideWhenUsed/>
    <w:rsid w:val="00DD2E87"/>
    <w:rPr>
      <w:color w:val="0000FF"/>
      <w:u w:val="single"/>
    </w:rPr>
  </w:style>
  <w:style w:type="paragraph" w:customStyle="1" w:styleId="af2">
    <w:name w:val="основной текст"/>
    <w:basedOn w:val="a"/>
    <w:link w:val="af3"/>
    <w:qFormat/>
    <w:rsid w:val="00AA7EC5"/>
    <w:pPr>
      <w:autoSpaceDE w:val="0"/>
      <w:autoSpaceDN w:val="0"/>
      <w:adjustRightInd w:val="0"/>
      <w:spacing w:before="120" w:line="276" w:lineRule="auto"/>
      <w:ind w:left="567" w:firstLine="0"/>
    </w:pPr>
    <w:rPr>
      <w:rFonts w:ascii="Arial" w:eastAsia="Calibri" w:hAnsi="Arial" w:cs="Arial"/>
      <w:color w:val="000000" w:themeColor="text1"/>
      <w:szCs w:val="26"/>
    </w:rPr>
  </w:style>
  <w:style w:type="character" w:customStyle="1" w:styleId="af3">
    <w:name w:val="основной текст Знак"/>
    <w:basedOn w:val="a0"/>
    <w:link w:val="af2"/>
    <w:rsid w:val="00AA7EC5"/>
    <w:rPr>
      <w:rFonts w:ascii="Arial" w:eastAsia="Calibri" w:hAnsi="Arial" w:cs="Arial"/>
      <w:color w:val="000000" w:themeColor="text1"/>
      <w:szCs w:val="26"/>
    </w:rPr>
  </w:style>
  <w:style w:type="paragraph" w:customStyle="1" w:styleId="af4">
    <w:name w:val="для текста"/>
    <w:basedOn w:val="a"/>
    <w:link w:val="af5"/>
    <w:qFormat/>
    <w:rsid w:val="00AA7EC5"/>
    <w:pPr>
      <w:autoSpaceDE w:val="0"/>
      <w:autoSpaceDN w:val="0"/>
      <w:adjustRightInd w:val="0"/>
      <w:spacing w:before="200" w:line="276" w:lineRule="auto"/>
      <w:ind w:firstLine="0"/>
      <w:textAlignment w:val="center"/>
    </w:pPr>
    <w:rPr>
      <w:rFonts w:ascii="Times New Roman" w:eastAsiaTheme="minorEastAsia" w:hAnsi="Times New Roman" w:cs="Arial"/>
      <w:color w:val="000000"/>
      <w:sz w:val="28"/>
    </w:rPr>
  </w:style>
  <w:style w:type="character" w:customStyle="1" w:styleId="af5">
    <w:name w:val="для текста Знак"/>
    <w:basedOn w:val="a0"/>
    <w:link w:val="af4"/>
    <w:rsid w:val="00AA7EC5"/>
    <w:rPr>
      <w:rFonts w:ascii="Times New Roman" w:eastAsiaTheme="minorEastAsia" w:hAnsi="Times New Roman" w:cs="Arial"/>
      <w:color w:val="000000"/>
      <w:sz w:val="28"/>
    </w:rPr>
  </w:style>
  <w:style w:type="paragraph" w:styleId="af6">
    <w:name w:val="header"/>
    <w:basedOn w:val="a"/>
    <w:link w:val="af7"/>
    <w:uiPriority w:val="99"/>
    <w:unhideWhenUsed/>
    <w:rsid w:val="008F73DD"/>
    <w:pPr>
      <w:tabs>
        <w:tab w:val="center" w:pos="4677"/>
        <w:tab w:val="right" w:pos="9355"/>
      </w:tabs>
    </w:pPr>
  </w:style>
  <w:style w:type="character" w:customStyle="1" w:styleId="af7">
    <w:name w:val="Верхний колонтитул Знак"/>
    <w:basedOn w:val="a0"/>
    <w:link w:val="af6"/>
    <w:uiPriority w:val="99"/>
    <w:rsid w:val="008F73DD"/>
  </w:style>
  <w:style w:type="paragraph" w:styleId="af8">
    <w:name w:val="footer"/>
    <w:basedOn w:val="a"/>
    <w:link w:val="af9"/>
    <w:uiPriority w:val="99"/>
    <w:unhideWhenUsed/>
    <w:rsid w:val="008F73DD"/>
    <w:pPr>
      <w:tabs>
        <w:tab w:val="center" w:pos="4677"/>
        <w:tab w:val="right" w:pos="9355"/>
      </w:tabs>
    </w:pPr>
  </w:style>
  <w:style w:type="character" w:customStyle="1" w:styleId="af9">
    <w:name w:val="Нижний колонтитул Знак"/>
    <w:basedOn w:val="a0"/>
    <w:link w:val="af8"/>
    <w:uiPriority w:val="99"/>
    <w:rsid w:val="008F73DD"/>
  </w:style>
  <w:style w:type="paragraph" w:styleId="afa">
    <w:name w:val="annotation subject"/>
    <w:basedOn w:val="aa"/>
    <w:next w:val="aa"/>
    <w:link w:val="afb"/>
    <w:uiPriority w:val="99"/>
    <w:semiHidden/>
    <w:unhideWhenUsed/>
    <w:rsid w:val="00DE65BD"/>
    <w:rPr>
      <w:b/>
      <w:bCs/>
    </w:rPr>
  </w:style>
  <w:style w:type="character" w:customStyle="1" w:styleId="afb">
    <w:name w:val="Тема примечания Знак"/>
    <w:basedOn w:val="ab"/>
    <w:link w:val="afa"/>
    <w:uiPriority w:val="99"/>
    <w:semiHidden/>
    <w:rsid w:val="00DE65BD"/>
    <w:rPr>
      <w:b/>
      <w:bCs/>
      <w:sz w:val="20"/>
      <w:szCs w:val="20"/>
    </w:rPr>
  </w:style>
  <w:style w:type="character" w:customStyle="1" w:styleId="rvts268459">
    <w:name w:val="rvts2_68459"/>
    <w:basedOn w:val="a0"/>
    <w:rsid w:val="003775D3"/>
  </w:style>
  <w:style w:type="paragraph" w:customStyle="1" w:styleId="rvps168459">
    <w:name w:val="rvps1_68459"/>
    <w:basedOn w:val="a"/>
    <w:rsid w:val="003775D3"/>
    <w:pPr>
      <w:spacing w:after="150"/>
      <w:ind w:firstLine="0"/>
      <w:jc w:val="left"/>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92800"/>
    <w:rPr>
      <w:rFonts w:asciiTheme="majorHAnsi" w:eastAsiaTheme="majorEastAsia" w:hAnsiTheme="majorHAnsi" w:cstheme="majorBidi"/>
      <w:color w:val="2E74B5" w:themeColor="accent1" w:themeShade="BF"/>
      <w:sz w:val="32"/>
      <w:szCs w:val="32"/>
    </w:rPr>
  </w:style>
  <w:style w:type="character" w:styleId="afc">
    <w:name w:val="FollowedHyperlink"/>
    <w:basedOn w:val="a0"/>
    <w:uiPriority w:val="99"/>
    <w:semiHidden/>
    <w:unhideWhenUsed/>
    <w:rsid w:val="006319B3"/>
    <w:rPr>
      <w:color w:val="954F72" w:themeColor="followedHyperlink"/>
      <w:u w:val="single"/>
    </w:rPr>
  </w:style>
  <w:style w:type="table" w:styleId="afd">
    <w:name w:val="Table Grid"/>
    <w:basedOn w:val="a1"/>
    <w:uiPriority w:val="39"/>
    <w:rsid w:val="0096737A"/>
    <w:pPr>
      <w:ind w:firstLine="0"/>
      <w:jc w:val="left"/>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DB2F4B"/>
    <w:rPr>
      <w:rFonts w:asciiTheme="majorHAnsi" w:eastAsiaTheme="majorEastAsia" w:hAnsiTheme="majorHAnsi" w:cstheme="majorBidi"/>
      <w:color w:val="1F4D78" w:themeColor="accent1" w:themeShade="7F"/>
      <w:sz w:val="24"/>
      <w:szCs w:val="24"/>
    </w:rPr>
  </w:style>
  <w:style w:type="paragraph" w:customStyle="1" w:styleId="tkTekst">
    <w:name w:val="_Текст обычный (tkTekst)"/>
    <w:basedOn w:val="a"/>
    <w:rsid w:val="002C215E"/>
    <w:pPr>
      <w:autoSpaceDN w:val="0"/>
      <w:spacing w:after="60" w:line="276" w:lineRule="auto"/>
      <w:ind w:firstLine="567"/>
    </w:pPr>
    <w:rPr>
      <w:rFonts w:ascii="Arial" w:eastAsia="Times New Roman" w:hAnsi="Arial" w:cs="Arial"/>
      <w:sz w:val="20"/>
      <w:szCs w:val="20"/>
      <w:lang w:eastAsia="ru-RU"/>
    </w:rPr>
  </w:style>
  <w:style w:type="paragraph" w:customStyle="1" w:styleId="-FN">
    <w:name w:val="Знак сноски-FN Знак"/>
    <w:aliases w:val="16 Point Знак,Footnote Reference Number Знак,Footnote Reference Superscript Знак,Footnote Reference_LVL6 Знак,Footnote Reference_LVL61 Знак,Footnote symbol Знак,Superscript 6 Point Знак,ftref Знак"/>
    <w:basedOn w:val="a"/>
    <w:next w:val="a"/>
    <w:uiPriority w:val="99"/>
    <w:rsid w:val="006B10CF"/>
    <w:pPr>
      <w:spacing w:after="160" w:line="240" w:lineRule="exact"/>
      <w:ind w:firstLine="0"/>
    </w:pPr>
    <w:rPr>
      <w:vertAlign w:val="superscript"/>
    </w:rPr>
  </w:style>
  <w:style w:type="paragraph" w:styleId="afe">
    <w:name w:val="Revision"/>
    <w:hidden/>
    <w:uiPriority w:val="99"/>
    <w:semiHidden/>
    <w:rsid w:val="001A2892"/>
    <w:pPr>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55337">
      <w:bodyDiv w:val="1"/>
      <w:marLeft w:val="0"/>
      <w:marRight w:val="0"/>
      <w:marTop w:val="0"/>
      <w:marBottom w:val="0"/>
      <w:divBdr>
        <w:top w:val="none" w:sz="0" w:space="0" w:color="auto"/>
        <w:left w:val="none" w:sz="0" w:space="0" w:color="auto"/>
        <w:bottom w:val="none" w:sz="0" w:space="0" w:color="auto"/>
        <w:right w:val="none" w:sz="0" w:space="0" w:color="auto"/>
      </w:divBdr>
    </w:div>
    <w:div w:id="34084766">
      <w:bodyDiv w:val="1"/>
      <w:marLeft w:val="0"/>
      <w:marRight w:val="0"/>
      <w:marTop w:val="0"/>
      <w:marBottom w:val="0"/>
      <w:divBdr>
        <w:top w:val="none" w:sz="0" w:space="0" w:color="auto"/>
        <w:left w:val="none" w:sz="0" w:space="0" w:color="auto"/>
        <w:bottom w:val="none" w:sz="0" w:space="0" w:color="auto"/>
        <w:right w:val="none" w:sz="0" w:space="0" w:color="auto"/>
      </w:divBdr>
      <w:divsChild>
        <w:div w:id="723452027">
          <w:marLeft w:val="0"/>
          <w:marRight w:val="0"/>
          <w:marTop w:val="0"/>
          <w:marBottom w:val="0"/>
          <w:divBdr>
            <w:top w:val="none" w:sz="0" w:space="0" w:color="auto"/>
            <w:left w:val="none" w:sz="0" w:space="0" w:color="auto"/>
            <w:bottom w:val="none" w:sz="0" w:space="0" w:color="auto"/>
            <w:right w:val="none" w:sz="0" w:space="0" w:color="auto"/>
          </w:divBdr>
          <w:divsChild>
            <w:div w:id="1455565321">
              <w:marLeft w:val="0"/>
              <w:marRight w:val="0"/>
              <w:marTop w:val="0"/>
              <w:marBottom w:val="0"/>
              <w:divBdr>
                <w:top w:val="none" w:sz="0" w:space="0" w:color="auto"/>
                <w:left w:val="none" w:sz="0" w:space="0" w:color="auto"/>
                <w:bottom w:val="none" w:sz="0" w:space="0" w:color="auto"/>
                <w:right w:val="none" w:sz="0" w:space="0" w:color="auto"/>
              </w:divBdr>
              <w:divsChild>
                <w:div w:id="2024741191">
                  <w:marLeft w:val="0"/>
                  <w:marRight w:val="0"/>
                  <w:marTop w:val="0"/>
                  <w:marBottom w:val="0"/>
                  <w:divBdr>
                    <w:top w:val="none" w:sz="0" w:space="0" w:color="auto"/>
                    <w:left w:val="none" w:sz="0" w:space="0" w:color="auto"/>
                    <w:bottom w:val="none" w:sz="0" w:space="0" w:color="auto"/>
                    <w:right w:val="none" w:sz="0" w:space="0" w:color="auto"/>
                  </w:divBdr>
                  <w:divsChild>
                    <w:div w:id="997224719">
                      <w:marLeft w:val="0"/>
                      <w:marRight w:val="0"/>
                      <w:marTop w:val="0"/>
                      <w:marBottom w:val="0"/>
                      <w:divBdr>
                        <w:top w:val="none" w:sz="0" w:space="0" w:color="auto"/>
                        <w:left w:val="none" w:sz="0" w:space="0" w:color="auto"/>
                        <w:bottom w:val="none" w:sz="0" w:space="0" w:color="auto"/>
                        <w:right w:val="none" w:sz="0" w:space="0" w:color="auto"/>
                      </w:divBdr>
                      <w:divsChild>
                        <w:div w:id="49912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20334">
      <w:bodyDiv w:val="1"/>
      <w:marLeft w:val="0"/>
      <w:marRight w:val="0"/>
      <w:marTop w:val="0"/>
      <w:marBottom w:val="0"/>
      <w:divBdr>
        <w:top w:val="none" w:sz="0" w:space="0" w:color="auto"/>
        <w:left w:val="none" w:sz="0" w:space="0" w:color="auto"/>
        <w:bottom w:val="none" w:sz="0" w:space="0" w:color="auto"/>
        <w:right w:val="none" w:sz="0" w:space="0" w:color="auto"/>
      </w:divBdr>
    </w:div>
    <w:div w:id="267812552">
      <w:bodyDiv w:val="1"/>
      <w:marLeft w:val="0"/>
      <w:marRight w:val="0"/>
      <w:marTop w:val="0"/>
      <w:marBottom w:val="0"/>
      <w:divBdr>
        <w:top w:val="none" w:sz="0" w:space="0" w:color="auto"/>
        <w:left w:val="none" w:sz="0" w:space="0" w:color="auto"/>
        <w:bottom w:val="none" w:sz="0" w:space="0" w:color="auto"/>
        <w:right w:val="none" w:sz="0" w:space="0" w:color="auto"/>
      </w:divBdr>
    </w:div>
    <w:div w:id="582954850">
      <w:bodyDiv w:val="1"/>
      <w:marLeft w:val="0"/>
      <w:marRight w:val="0"/>
      <w:marTop w:val="0"/>
      <w:marBottom w:val="0"/>
      <w:divBdr>
        <w:top w:val="none" w:sz="0" w:space="0" w:color="auto"/>
        <w:left w:val="none" w:sz="0" w:space="0" w:color="auto"/>
        <w:bottom w:val="none" w:sz="0" w:space="0" w:color="auto"/>
        <w:right w:val="none" w:sz="0" w:space="0" w:color="auto"/>
      </w:divBdr>
    </w:div>
    <w:div w:id="609363480">
      <w:bodyDiv w:val="1"/>
      <w:marLeft w:val="0"/>
      <w:marRight w:val="0"/>
      <w:marTop w:val="0"/>
      <w:marBottom w:val="0"/>
      <w:divBdr>
        <w:top w:val="none" w:sz="0" w:space="0" w:color="auto"/>
        <w:left w:val="none" w:sz="0" w:space="0" w:color="auto"/>
        <w:bottom w:val="none" w:sz="0" w:space="0" w:color="auto"/>
        <w:right w:val="none" w:sz="0" w:space="0" w:color="auto"/>
      </w:divBdr>
    </w:div>
    <w:div w:id="656766849">
      <w:bodyDiv w:val="1"/>
      <w:marLeft w:val="0"/>
      <w:marRight w:val="0"/>
      <w:marTop w:val="0"/>
      <w:marBottom w:val="0"/>
      <w:divBdr>
        <w:top w:val="none" w:sz="0" w:space="0" w:color="auto"/>
        <w:left w:val="none" w:sz="0" w:space="0" w:color="auto"/>
        <w:bottom w:val="none" w:sz="0" w:space="0" w:color="auto"/>
        <w:right w:val="none" w:sz="0" w:space="0" w:color="auto"/>
      </w:divBdr>
    </w:div>
    <w:div w:id="660621322">
      <w:bodyDiv w:val="1"/>
      <w:marLeft w:val="0"/>
      <w:marRight w:val="0"/>
      <w:marTop w:val="0"/>
      <w:marBottom w:val="0"/>
      <w:divBdr>
        <w:top w:val="none" w:sz="0" w:space="0" w:color="auto"/>
        <w:left w:val="none" w:sz="0" w:space="0" w:color="auto"/>
        <w:bottom w:val="none" w:sz="0" w:space="0" w:color="auto"/>
        <w:right w:val="none" w:sz="0" w:space="0" w:color="auto"/>
      </w:divBdr>
    </w:div>
    <w:div w:id="772867120">
      <w:bodyDiv w:val="1"/>
      <w:marLeft w:val="0"/>
      <w:marRight w:val="0"/>
      <w:marTop w:val="0"/>
      <w:marBottom w:val="0"/>
      <w:divBdr>
        <w:top w:val="none" w:sz="0" w:space="0" w:color="auto"/>
        <w:left w:val="none" w:sz="0" w:space="0" w:color="auto"/>
        <w:bottom w:val="none" w:sz="0" w:space="0" w:color="auto"/>
        <w:right w:val="none" w:sz="0" w:space="0" w:color="auto"/>
      </w:divBdr>
    </w:div>
    <w:div w:id="781649709">
      <w:bodyDiv w:val="1"/>
      <w:marLeft w:val="0"/>
      <w:marRight w:val="0"/>
      <w:marTop w:val="0"/>
      <w:marBottom w:val="0"/>
      <w:divBdr>
        <w:top w:val="none" w:sz="0" w:space="0" w:color="auto"/>
        <w:left w:val="none" w:sz="0" w:space="0" w:color="auto"/>
        <w:bottom w:val="none" w:sz="0" w:space="0" w:color="auto"/>
        <w:right w:val="none" w:sz="0" w:space="0" w:color="auto"/>
      </w:divBdr>
    </w:div>
    <w:div w:id="843473249">
      <w:bodyDiv w:val="1"/>
      <w:marLeft w:val="0"/>
      <w:marRight w:val="0"/>
      <w:marTop w:val="0"/>
      <w:marBottom w:val="0"/>
      <w:divBdr>
        <w:top w:val="none" w:sz="0" w:space="0" w:color="auto"/>
        <w:left w:val="none" w:sz="0" w:space="0" w:color="auto"/>
        <w:bottom w:val="none" w:sz="0" w:space="0" w:color="auto"/>
        <w:right w:val="none" w:sz="0" w:space="0" w:color="auto"/>
      </w:divBdr>
    </w:div>
    <w:div w:id="930744604">
      <w:bodyDiv w:val="1"/>
      <w:marLeft w:val="0"/>
      <w:marRight w:val="0"/>
      <w:marTop w:val="0"/>
      <w:marBottom w:val="0"/>
      <w:divBdr>
        <w:top w:val="none" w:sz="0" w:space="0" w:color="auto"/>
        <w:left w:val="none" w:sz="0" w:space="0" w:color="auto"/>
        <w:bottom w:val="none" w:sz="0" w:space="0" w:color="auto"/>
        <w:right w:val="none" w:sz="0" w:space="0" w:color="auto"/>
      </w:divBdr>
    </w:div>
    <w:div w:id="983699697">
      <w:bodyDiv w:val="1"/>
      <w:marLeft w:val="0"/>
      <w:marRight w:val="0"/>
      <w:marTop w:val="0"/>
      <w:marBottom w:val="0"/>
      <w:divBdr>
        <w:top w:val="none" w:sz="0" w:space="0" w:color="auto"/>
        <w:left w:val="none" w:sz="0" w:space="0" w:color="auto"/>
        <w:bottom w:val="none" w:sz="0" w:space="0" w:color="auto"/>
        <w:right w:val="none" w:sz="0" w:space="0" w:color="auto"/>
      </w:divBdr>
    </w:div>
    <w:div w:id="1034814631">
      <w:bodyDiv w:val="1"/>
      <w:marLeft w:val="0"/>
      <w:marRight w:val="0"/>
      <w:marTop w:val="0"/>
      <w:marBottom w:val="0"/>
      <w:divBdr>
        <w:top w:val="none" w:sz="0" w:space="0" w:color="auto"/>
        <w:left w:val="none" w:sz="0" w:space="0" w:color="auto"/>
        <w:bottom w:val="none" w:sz="0" w:space="0" w:color="auto"/>
        <w:right w:val="none" w:sz="0" w:space="0" w:color="auto"/>
      </w:divBdr>
    </w:div>
    <w:div w:id="1150554502">
      <w:bodyDiv w:val="1"/>
      <w:marLeft w:val="0"/>
      <w:marRight w:val="0"/>
      <w:marTop w:val="0"/>
      <w:marBottom w:val="0"/>
      <w:divBdr>
        <w:top w:val="none" w:sz="0" w:space="0" w:color="auto"/>
        <w:left w:val="none" w:sz="0" w:space="0" w:color="auto"/>
        <w:bottom w:val="none" w:sz="0" w:space="0" w:color="auto"/>
        <w:right w:val="none" w:sz="0" w:space="0" w:color="auto"/>
      </w:divBdr>
    </w:div>
    <w:div w:id="1265653459">
      <w:bodyDiv w:val="1"/>
      <w:marLeft w:val="0"/>
      <w:marRight w:val="0"/>
      <w:marTop w:val="0"/>
      <w:marBottom w:val="0"/>
      <w:divBdr>
        <w:top w:val="none" w:sz="0" w:space="0" w:color="auto"/>
        <w:left w:val="none" w:sz="0" w:space="0" w:color="auto"/>
        <w:bottom w:val="none" w:sz="0" w:space="0" w:color="auto"/>
        <w:right w:val="none" w:sz="0" w:space="0" w:color="auto"/>
      </w:divBdr>
    </w:div>
    <w:div w:id="1399521580">
      <w:bodyDiv w:val="1"/>
      <w:marLeft w:val="0"/>
      <w:marRight w:val="0"/>
      <w:marTop w:val="0"/>
      <w:marBottom w:val="0"/>
      <w:divBdr>
        <w:top w:val="none" w:sz="0" w:space="0" w:color="auto"/>
        <w:left w:val="none" w:sz="0" w:space="0" w:color="auto"/>
        <w:bottom w:val="none" w:sz="0" w:space="0" w:color="auto"/>
        <w:right w:val="none" w:sz="0" w:space="0" w:color="auto"/>
      </w:divBdr>
    </w:div>
    <w:div w:id="1980333579">
      <w:bodyDiv w:val="1"/>
      <w:marLeft w:val="0"/>
      <w:marRight w:val="0"/>
      <w:marTop w:val="0"/>
      <w:marBottom w:val="0"/>
      <w:divBdr>
        <w:top w:val="none" w:sz="0" w:space="0" w:color="auto"/>
        <w:left w:val="none" w:sz="0" w:space="0" w:color="auto"/>
        <w:bottom w:val="none" w:sz="0" w:space="0" w:color="auto"/>
        <w:right w:val="none" w:sz="0" w:space="0" w:color="auto"/>
      </w:divBdr>
    </w:div>
    <w:div w:id="2047368782">
      <w:bodyDiv w:val="1"/>
      <w:marLeft w:val="0"/>
      <w:marRight w:val="0"/>
      <w:marTop w:val="0"/>
      <w:marBottom w:val="0"/>
      <w:divBdr>
        <w:top w:val="none" w:sz="0" w:space="0" w:color="auto"/>
        <w:left w:val="none" w:sz="0" w:space="0" w:color="auto"/>
        <w:bottom w:val="none" w:sz="0" w:space="0" w:color="auto"/>
        <w:right w:val="none" w:sz="0" w:space="0" w:color="auto"/>
      </w:divBdr>
    </w:div>
    <w:div w:id="205897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cbr.ru/about_br/dir/rsd_2022-12-23_14_01/" TargetMode="External"/><Relationship Id="rId2" Type="http://schemas.openxmlformats.org/officeDocument/2006/relationships/hyperlink" Target="http://www.cbr.ru/about_br/dir/rsd_2022-03-18/" TargetMode="External"/><Relationship Id="rId1" Type="http://schemas.openxmlformats.org/officeDocument/2006/relationships/hyperlink" Target="https://www.gov.kz/memleket/entities/ardfm/documents/details/449076?lang=ru" TargetMode="External"/><Relationship Id="rId5" Type="http://schemas.openxmlformats.org/officeDocument/2006/relationships/hyperlink" Target="https://www.cba.am/RU/panalyticalmaterialsresearches/Strategy%202021_rus.pdf" TargetMode="External"/><Relationship Id="rId4" Type="http://schemas.openxmlformats.org/officeDocument/2006/relationships/hyperlink" Target="http://www.cbr.ru/about_br/dir/rsd_2022-09-27_14_02/"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3DC99-EBE3-4121-8C97-635C5A60F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34</Pages>
  <Words>14665</Words>
  <Characters>83597</Characters>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2023-06-08T08:03:00Z</cp:lastPrinted>
  <dcterms:created xsi:type="dcterms:W3CDTF">2023-06-02T09:44:00Z</dcterms:created>
  <dcterms:modified xsi:type="dcterms:W3CDTF">2023-06-08T08:03:00Z</dcterms:modified>
</cp:coreProperties>
</file>